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6E5" w:rsidRDefault="005016E5" w:rsidP="00194107">
      <w:pPr>
        <w:rPr>
          <w:rFonts w:ascii="Times New Roman" w:hAnsi="Times New Roman" w:cs="Times New Roman"/>
          <w:b/>
          <w:bCs/>
          <w:sz w:val="20"/>
          <w:szCs w:val="20"/>
        </w:rPr>
      </w:pPr>
      <w:r>
        <w:rPr>
          <w:rFonts w:ascii="Times New Roman" w:hAnsi="Times New Roman" w:cs="Times New Roman"/>
          <w:b/>
          <w:bCs/>
          <w:sz w:val="20"/>
          <w:szCs w:val="20"/>
        </w:rPr>
        <w:t>Annex II</w:t>
      </w:r>
    </w:p>
    <w:p w:rsidR="00194107" w:rsidRPr="006C2F0D" w:rsidRDefault="000371BC" w:rsidP="00194107">
      <w:pPr>
        <w:rPr>
          <w:rFonts w:ascii="Times New Roman" w:hAnsi="Times New Roman" w:cs="Times New Roman"/>
          <w:b/>
          <w:bCs/>
          <w:sz w:val="20"/>
          <w:szCs w:val="20"/>
        </w:rPr>
      </w:pPr>
      <w:r w:rsidRPr="00566107">
        <w:rPr>
          <w:rFonts w:ascii="Times New Roman" w:hAnsi="Times New Roman" w:cs="Times New Roman"/>
          <w:b/>
          <w:bCs/>
          <w:sz w:val="20"/>
          <w:szCs w:val="20"/>
        </w:rPr>
        <w:t>S.06.02 – List of assets</w:t>
      </w:r>
      <w:r w:rsidR="00A671EA">
        <w:rPr>
          <w:rFonts w:ascii="Times New Roman" w:hAnsi="Times New Roman" w:cs="Times New Roman"/>
          <w:b/>
          <w:bCs/>
          <w:sz w:val="20"/>
          <w:szCs w:val="20"/>
        </w:rPr>
        <w:t xml:space="preserve"> </w:t>
      </w:r>
    </w:p>
    <w:p w:rsidR="000371BC" w:rsidRPr="00566107" w:rsidRDefault="000371BC" w:rsidP="000371BC">
      <w:pPr>
        <w:rPr>
          <w:rFonts w:ascii="Times New Roman" w:hAnsi="Times New Roman" w:cs="Times New Roman"/>
          <w:b/>
          <w:bCs/>
          <w:sz w:val="20"/>
          <w:szCs w:val="20"/>
        </w:rPr>
      </w:pPr>
      <w:r w:rsidRPr="00566107">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566107">
        <w:rPr>
          <w:rFonts w:ascii="Times New Roman" w:hAnsi="Times New Roman" w:cs="Times New Roman"/>
          <w:b/>
          <w:bCs/>
          <w:sz w:val="20"/>
          <w:szCs w:val="20"/>
        </w:rPr>
        <w:t>:</w:t>
      </w:r>
    </w:p>
    <w:p w:rsidR="00176587" w:rsidRDefault="00176587" w:rsidP="00176587">
      <w:pPr>
        <w:jc w:val="both"/>
        <w:rPr>
          <w:rFonts w:ascii="Times New Roman" w:hAnsi="Times New Roman" w:cs="Times New Roman"/>
          <w:sz w:val="20"/>
          <w:szCs w:val="20"/>
        </w:rPr>
      </w:pPr>
      <w:r w:rsidRPr="0056610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71F3E" w:rsidRDefault="00571F3E" w:rsidP="00571F3E">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quarterly and annual submission of information for individual entities.</w:t>
      </w:r>
    </w:p>
    <w:p w:rsidR="0036555A" w:rsidRDefault="0036555A" w:rsidP="005B75A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w:t>
      </w:r>
      <w:r w:rsidR="00F765B5">
        <w:rPr>
          <w:rFonts w:ascii="Times New Roman" w:hAnsi="Times New Roman" w:cs="Times New Roman"/>
          <w:bCs/>
          <w:sz w:val="20"/>
          <w:szCs w:val="20"/>
        </w:rPr>
        <w:t>V</w:t>
      </w:r>
      <w:r w:rsidRPr="00660011">
        <w:rPr>
          <w:rFonts w:ascii="Times New Roman" w:hAnsi="Times New Roman" w:cs="Times New Roman"/>
          <w:bCs/>
          <w:sz w:val="20"/>
          <w:szCs w:val="20"/>
        </w:rPr>
        <w:t xml:space="preserve">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references to CIC codes refer to Annex V – CIC table of this Regulation.</w:t>
      </w:r>
    </w:p>
    <w:p w:rsidR="005B75AA" w:rsidRPr="006C2F0D" w:rsidRDefault="006575AC" w:rsidP="005B75AA">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w:t>
      </w:r>
      <w:r w:rsidR="00F765B5">
        <w:rPr>
          <w:rFonts w:ascii="Times New Roman" w:hAnsi="Times New Roman" w:cs="Times New Roman"/>
          <w:bCs/>
          <w:sz w:val="20"/>
          <w:szCs w:val="20"/>
        </w:rPr>
        <w:t>V</w:t>
      </w:r>
      <w:r w:rsidR="0036555A" w:rsidRPr="004B5E55">
        <w:rPr>
          <w:rFonts w:ascii="Times New Roman" w:hAnsi="Times New Roman" w:cs="Times New Roman"/>
          <w:bCs/>
          <w:sz w:val="20"/>
          <w:szCs w:val="20"/>
        </w:rPr>
        <w:t xml:space="preserve">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rsidR="00287E2A" w:rsidRPr="00566107" w:rsidRDefault="00970195" w:rsidP="00987A8A">
      <w:pPr>
        <w:jc w:val="both"/>
        <w:rPr>
          <w:rFonts w:ascii="Times New Roman" w:hAnsi="Times New Roman" w:cs="Times New Roman"/>
          <w:sz w:val="20"/>
          <w:szCs w:val="20"/>
        </w:rPr>
      </w:pPr>
      <w:r w:rsidRPr="00566107">
        <w:rPr>
          <w:rFonts w:ascii="Times New Roman" w:hAnsi="Times New Roman" w:cs="Times New Roman"/>
          <w:sz w:val="20"/>
          <w:szCs w:val="20"/>
        </w:rPr>
        <w:t>This template contains a</w:t>
      </w:r>
      <w:r w:rsidR="00F40635" w:rsidRPr="00566107">
        <w:rPr>
          <w:rFonts w:ascii="Times New Roman" w:hAnsi="Times New Roman" w:cs="Times New Roman"/>
          <w:sz w:val="20"/>
          <w:szCs w:val="20"/>
        </w:rPr>
        <w:t>n</w:t>
      </w:r>
      <w:r w:rsidRPr="00566107">
        <w:rPr>
          <w:rFonts w:ascii="Times New Roman" w:hAnsi="Times New Roman" w:cs="Times New Roman"/>
          <w:sz w:val="20"/>
          <w:szCs w:val="20"/>
        </w:rPr>
        <w:t xml:space="preserve"> </w:t>
      </w:r>
      <w:r w:rsidR="007B640A" w:rsidRPr="00566107">
        <w:rPr>
          <w:rFonts w:ascii="Times New Roman" w:hAnsi="Times New Roman" w:cs="Times New Roman"/>
          <w:sz w:val="20"/>
          <w:szCs w:val="20"/>
        </w:rPr>
        <w:t>item</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by</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item</w:t>
      </w:r>
      <w:r w:rsidRPr="00566107">
        <w:rPr>
          <w:rFonts w:ascii="Times New Roman" w:hAnsi="Times New Roman" w:cs="Times New Roman"/>
          <w:sz w:val="20"/>
          <w:szCs w:val="20"/>
        </w:rPr>
        <w:t xml:space="preserve"> list of assets </w:t>
      </w:r>
      <w:r w:rsidR="0032704D">
        <w:rPr>
          <w:rFonts w:ascii="Times New Roman" w:hAnsi="Times New Roman" w:cs="Times New Roman"/>
          <w:sz w:val="20"/>
          <w:szCs w:val="20"/>
        </w:rPr>
        <w:t>held directly by the undertaking (i.e. not on a look-through basis),</w:t>
      </w:r>
      <w:r w:rsidR="0032704D" w:rsidRPr="00566107">
        <w:rPr>
          <w:rFonts w:ascii="Times New Roman" w:hAnsi="Times New Roman" w:cs="Times New Roman"/>
          <w:sz w:val="20"/>
          <w:szCs w:val="20"/>
        </w:rPr>
        <w:t xml:space="preserve"> </w:t>
      </w:r>
      <w:r w:rsidRPr="00566107">
        <w:rPr>
          <w:rFonts w:ascii="Times New Roman" w:hAnsi="Times New Roman" w:cs="Times New Roman"/>
          <w:sz w:val="20"/>
          <w:szCs w:val="20"/>
        </w:rPr>
        <w:t xml:space="preserve">classifiable as asset categories </w:t>
      </w:r>
      <w:r w:rsidR="00B363A6">
        <w:rPr>
          <w:rFonts w:ascii="Times New Roman" w:hAnsi="Times New Roman" w:cs="Times New Roman"/>
          <w:sz w:val="20"/>
          <w:szCs w:val="20"/>
        </w:rPr>
        <w:t>0</w:t>
      </w:r>
      <w:r w:rsidRPr="00566107">
        <w:rPr>
          <w:rFonts w:ascii="Times New Roman" w:hAnsi="Times New Roman" w:cs="Times New Roman"/>
          <w:sz w:val="20"/>
          <w:szCs w:val="20"/>
        </w:rPr>
        <w:t xml:space="preserve"> to </w:t>
      </w:r>
      <w:r w:rsidRPr="006D2609">
        <w:rPr>
          <w:rFonts w:ascii="Times New Roman" w:hAnsi="Times New Roman" w:cs="Times New Roman"/>
          <w:sz w:val="20"/>
          <w:szCs w:val="20"/>
        </w:rPr>
        <w:t>9</w:t>
      </w:r>
      <w:r w:rsidR="00EE32C1" w:rsidRPr="006D2609">
        <w:rPr>
          <w:rFonts w:ascii="Times New Roman" w:hAnsi="Times New Roman" w:cs="Times New Roman"/>
          <w:sz w:val="20"/>
          <w:szCs w:val="20"/>
        </w:rPr>
        <w:t xml:space="preserve"> (in case of unit-linked and index-linked product managed by the (re)insurance undertaking, </w:t>
      </w:r>
      <w:r w:rsidR="00853978" w:rsidRPr="00A671EA">
        <w:rPr>
          <w:rFonts w:ascii="Times New Roman" w:hAnsi="Times New Roman" w:cs="Times New Roman"/>
          <w:sz w:val="20"/>
          <w:szCs w:val="20"/>
        </w:rPr>
        <w:t xml:space="preserve">the assets to be reported are also only the ones covered by </w:t>
      </w:r>
      <w:r w:rsidR="00853978" w:rsidRPr="006D2609">
        <w:rPr>
          <w:rFonts w:ascii="Times New Roman" w:hAnsi="Times New Roman" w:cs="Times New Roman"/>
          <w:sz w:val="20"/>
          <w:szCs w:val="20"/>
        </w:rPr>
        <w:t xml:space="preserve">asset categories 0 to 9, e.g. </w:t>
      </w:r>
      <w:proofErr w:type="spellStart"/>
      <w:r w:rsidR="00EE32C1" w:rsidRPr="006D2609">
        <w:rPr>
          <w:rFonts w:ascii="Times New Roman" w:hAnsi="Times New Roman" w:cs="Times New Roman"/>
          <w:sz w:val="20"/>
          <w:szCs w:val="20"/>
        </w:rPr>
        <w:t>recoverable</w:t>
      </w:r>
      <w:r w:rsidR="00853978" w:rsidRPr="00A671EA">
        <w:rPr>
          <w:rFonts w:ascii="Times New Roman" w:hAnsi="Times New Roman" w:cs="Times New Roman"/>
          <w:sz w:val="20"/>
          <w:szCs w:val="20"/>
        </w:rPr>
        <w:t>s</w:t>
      </w:r>
      <w:proofErr w:type="spellEnd"/>
      <w:r w:rsidR="00EE32C1" w:rsidRPr="006D2609">
        <w:rPr>
          <w:rFonts w:ascii="Times New Roman" w:hAnsi="Times New Roman" w:cs="Times New Roman"/>
          <w:sz w:val="20"/>
          <w:szCs w:val="20"/>
        </w:rPr>
        <w:t xml:space="preserve"> and liabilities </w:t>
      </w:r>
      <w:r w:rsidR="00853978" w:rsidRPr="00A671EA">
        <w:rPr>
          <w:rFonts w:ascii="Times New Roman" w:hAnsi="Times New Roman" w:cs="Times New Roman"/>
          <w:sz w:val="20"/>
          <w:szCs w:val="20"/>
        </w:rPr>
        <w:t xml:space="preserve">related to this products </w:t>
      </w:r>
      <w:r w:rsidR="00EE32C1" w:rsidRPr="006D2609">
        <w:rPr>
          <w:rFonts w:ascii="Times New Roman" w:hAnsi="Times New Roman" w:cs="Times New Roman"/>
          <w:sz w:val="20"/>
          <w:szCs w:val="20"/>
        </w:rPr>
        <w:t>should not be reported)</w:t>
      </w:r>
      <w:r w:rsidR="00287E2A" w:rsidRPr="006D2609">
        <w:rPr>
          <w:rFonts w:ascii="Times New Roman" w:hAnsi="Times New Roman" w:cs="Times New Roman"/>
          <w:sz w:val="20"/>
          <w:szCs w:val="20"/>
        </w:rPr>
        <w:t>, with</w:t>
      </w:r>
      <w:r w:rsidR="00287E2A" w:rsidRPr="00566107">
        <w:rPr>
          <w:rFonts w:ascii="Times New Roman" w:hAnsi="Times New Roman" w:cs="Times New Roman"/>
          <w:sz w:val="20"/>
          <w:szCs w:val="20"/>
        </w:rPr>
        <w:t xml:space="preserve"> the following exceptions:</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Cash shall be reported in one line per currency</w:t>
      </w:r>
      <w:r w:rsidR="0032704D">
        <w:rPr>
          <w:rFonts w:ascii="Times New Roman" w:hAnsi="Times New Roman" w:cs="Times New Roman"/>
          <w:sz w:val="20"/>
          <w:szCs w:val="20"/>
        </w:rPr>
        <w:t xml:space="preserve">, for each combination of items C0060, C0070, </w:t>
      </w:r>
      <w:r w:rsidR="00E15EA2">
        <w:rPr>
          <w:rFonts w:ascii="Times New Roman" w:hAnsi="Times New Roman" w:cs="Times New Roman"/>
          <w:sz w:val="20"/>
          <w:szCs w:val="20"/>
        </w:rPr>
        <w:t>C0080</w:t>
      </w:r>
      <w:r w:rsidR="0032704D">
        <w:rPr>
          <w:rFonts w:ascii="Times New Roman" w:hAnsi="Times New Roman" w:cs="Times New Roman"/>
          <w:sz w:val="20"/>
          <w:szCs w:val="20"/>
        </w:rPr>
        <w:t xml:space="preserve">  and C0090</w:t>
      </w:r>
      <w:r w:rsidRPr="00566107">
        <w:rPr>
          <w:rFonts w:ascii="Times New Roman" w:hAnsi="Times New Roman" w:cs="Times New Roman"/>
          <w:sz w:val="20"/>
          <w:szCs w:val="20"/>
        </w:rPr>
        <w:t>;</w:t>
      </w:r>
    </w:p>
    <w:p w:rsidR="00287E2A" w:rsidRPr="00FE3920"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 xml:space="preserve">Transferable deposits (cash equivalents) and other deposits with maturity of less than one year shall be reported in one line per pair of </w:t>
      </w:r>
      <w:r w:rsidRPr="00FE3920">
        <w:rPr>
          <w:rFonts w:ascii="Times New Roman" w:hAnsi="Times New Roman" w:cs="Times New Roman"/>
          <w:sz w:val="20"/>
          <w:szCs w:val="20"/>
        </w:rPr>
        <w:t>bank and currency</w:t>
      </w:r>
      <w:r w:rsidR="0032704D" w:rsidRPr="00FE3920">
        <w:rPr>
          <w:rFonts w:ascii="Times New Roman" w:hAnsi="Times New Roman" w:cs="Times New Roman"/>
          <w:sz w:val="20"/>
          <w:szCs w:val="20"/>
        </w:rPr>
        <w:t>, for each combination of items C0060, C0070, C0080, C0090</w:t>
      </w:r>
      <w:r w:rsidR="005F1830" w:rsidRPr="00FE3920">
        <w:rPr>
          <w:rFonts w:ascii="Times New Roman" w:hAnsi="Times New Roman" w:cs="Times New Roman"/>
          <w:sz w:val="20"/>
          <w:szCs w:val="20"/>
        </w:rPr>
        <w:t xml:space="preserve"> and C0290</w:t>
      </w:r>
      <w:r w:rsidRPr="00FE3920">
        <w:rPr>
          <w:rFonts w:ascii="Times New Roman" w:hAnsi="Times New Roman" w:cs="Times New Roman"/>
          <w:sz w:val="20"/>
          <w:szCs w:val="20"/>
        </w:rPr>
        <w:t>;</w:t>
      </w:r>
    </w:p>
    <w:p w:rsidR="00287E2A" w:rsidRPr="00FE3920"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FE3920">
        <w:rPr>
          <w:rFonts w:ascii="Times New Roman" w:hAnsi="Times New Roman" w:cs="Times New Roman"/>
          <w:sz w:val="20"/>
          <w:szCs w:val="20"/>
        </w:rPr>
        <w:t xml:space="preserve">Mortgages and loans to individuals, including loans on policies, shall be reported in two lines, one line regarding loans to </w:t>
      </w:r>
      <w:r w:rsidR="008073B3" w:rsidRPr="00FE3920">
        <w:rPr>
          <w:rFonts w:ascii="Times New Roman" w:hAnsi="Times New Roman" w:cs="Times New Roman"/>
          <w:sz w:val="20"/>
          <w:szCs w:val="20"/>
        </w:rPr>
        <w:t>a</w:t>
      </w:r>
      <w:r w:rsidRPr="00FE3920">
        <w:rPr>
          <w:rFonts w:ascii="Times New Roman" w:hAnsi="Times New Roman" w:cs="Times New Roman"/>
          <w:sz w:val="20"/>
          <w:szCs w:val="20"/>
        </w:rPr>
        <w:t>dministrative, management and supervisory body</w:t>
      </w:r>
      <w:r w:rsidR="0032704D" w:rsidRPr="00FE3920">
        <w:rPr>
          <w:rFonts w:ascii="Times New Roman" w:hAnsi="Times New Roman" w:cs="Times New Roman"/>
          <w:sz w:val="20"/>
          <w:szCs w:val="20"/>
        </w:rPr>
        <w:t>, for each combination of items C0060, C0070, C0080, C0090</w:t>
      </w:r>
      <w:r w:rsidRPr="00FE3920">
        <w:rPr>
          <w:rFonts w:ascii="Times New Roman" w:hAnsi="Times New Roman" w:cs="Times New Roman"/>
          <w:sz w:val="20"/>
          <w:szCs w:val="20"/>
        </w:rPr>
        <w:t xml:space="preserve"> </w:t>
      </w:r>
      <w:r w:rsidR="00D42B87" w:rsidRPr="00FE3920">
        <w:rPr>
          <w:rFonts w:ascii="Times New Roman" w:hAnsi="Times New Roman" w:cs="Times New Roman"/>
          <w:sz w:val="20"/>
          <w:szCs w:val="20"/>
        </w:rPr>
        <w:t xml:space="preserve">and C0290 </w:t>
      </w:r>
      <w:r w:rsidRPr="00FE3920">
        <w:rPr>
          <w:rFonts w:ascii="Times New Roman" w:hAnsi="Times New Roman" w:cs="Times New Roman"/>
          <w:sz w:val="20"/>
          <w:szCs w:val="20"/>
        </w:rPr>
        <w:t>and another regarding loans to other natural persons</w:t>
      </w:r>
      <w:r w:rsidR="0032704D" w:rsidRPr="00FE3920">
        <w:rPr>
          <w:rFonts w:ascii="Times New Roman" w:hAnsi="Times New Roman" w:cs="Times New Roman"/>
          <w:sz w:val="20"/>
          <w:szCs w:val="20"/>
        </w:rPr>
        <w:t>, for each combination of items C0060, C0070, C0080</w:t>
      </w:r>
      <w:r w:rsidR="003E0B17">
        <w:rPr>
          <w:rFonts w:ascii="Times New Roman" w:hAnsi="Times New Roman" w:cs="Times New Roman"/>
          <w:sz w:val="20"/>
          <w:szCs w:val="20"/>
        </w:rPr>
        <w:t>,</w:t>
      </w:r>
      <w:r w:rsidR="0032704D" w:rsidRPr="00FE3920">
        <w:rPr>
          <w:rFonts w:ascii="Times New Roman" w:hAnsi="Times New Roman" w:cs="Times New Roman"/>
          <w:sz w:val="20"/>
          <w:szCs w:val="20"/>
        </w:rPr>
        <w:t xml:space="preserve"> C0090</w:t>
      </w:r>
      <w:r w:rsidR="005F1830" w:rsidRPr="00FE3920">
        <w:rPr>
          <w:rFonts w:ascii="Times New Roman" w:hAnsi="Times New Roman" w:cs="Times New Roman"/>
          <w:sz w:val="20"/>
          <w:szCs w:val="20"/>
        </w:rPr>
        <w:t xml:space="preserve"> and C0290</w:t>
      </w:r>
      <w:r w:rsidRPr="00FE3920">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Deposit</w:t>
      </w:r>
      <w:r w:rsidR="003A7FAE">
        <w:rPr>
          <w:rFonts w:ascii="Times New Roman" w:hAnsi="Times New Roman" w:cs="Times New Roman"/>
          <w:sz w:val="20"/>
          <w:szCs w:val="20"/>
        </w:rPr>
        <w:t>s</w:t>
      </w:r>
      <w:r w:rsidRPr="00566107">
        <w:rPr>
          <w:rFonts w:ascii="Times New Roman" w:hAnsi="Times New Roman" w:cs="Times New Roman"/>
          <w:sz w:val="20"/>
          <w:szCs w:val="20"/>
        </w:rPr>
        <w:t xml:space="preserve"> to </w:t>
      </w:r>
      <w:proofErr w:type="spellStart"/>
      <w:r w:rsidRPr="00566107">
        <w:rPr>
          <w:rFonts w:ascii="Times New Roman" w:hAnsi="Times New Roman" w:cs="Times New Roman"/>
          <w:sz w:val="20"/>
          <w:szCs w:val="20"/>
        </w:rPr>
        <w:t>cedants</w:t>
      </w:r>
      <w:proofErr w:type="spellEnd"/>
      <w:r w:rsidRPr="00566107">
        <w:rPr>
          <w:rFonts w:ascii="Times New Roman" w:hAnsi="Times New Roman" w:cs="Times New Roman"/>
          <w:sz w:val="20"/>
          <w:szCs w:val="20"/>
        </w:rPr>
        <w:t xml:space="preserve"> shall be reported in one single line</w:t>
      </w:r>
      <w:r w:rsidR="0032704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Plant and equipment for the own use of the undertaking shall be reported in one single line</w:t>
      </w:r>
      <w:r w:rsidR="0032704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shall be reported separately, with one line for each asset, filling in all </w:t>
      </w:r>
      <w:r w:rsidR="00A7253F">
        <w:rPr>
          <w:rFonts w:ascii="Times New Roman" w:hAnsi="Times New Roman" w:cs="Times New Roman"/>
          <w:sz w:val="20"/>
          <w:szCs w:val="20"/>
        </w:rPr>
        <w:t xml:space="preserve">applicable </w:t>
      </w:r>
      <w:r>
        <w:rPr>
          <w:rFonts w:ascii="Times New Roman" w:hAnsi="Times New Roman" w:cs="Times New Roman"/>
          <w:sz w:val="20"/>
          <w:szCs w:val="20"/>
        </w:rPr>
        <w:t>variables requested in that table.</w:t>
      </w:r>
    </w:p>
    <w:p w:rsidR="00941E4D" w:rsidRPr="00A671EA" w:rsidRDefault="00941E4D" w:rsidP="00A671EA">
      <w:pPr>
        <w:spacing w:after="120"/>
        <w:jc w:val="both"/>
        <w:rPr>
          <w:rFonts w:ascii="Times New Roman" w:hAnsi="Times New Roman" w:cs="Times New Roman"/>
          <w:sz w:val="20"/>
          <w:szCs w:val="20"/>
        </w:rPr>
      </w:pPr>
      <w:r w:rsidRPr="00A671EA">
        <w:rPr>
          <w:rFonts w:ascii="Times New Roman" w:hAnsi="Times New Roman" w:cs="Times New Roman"/>
          <w:sz w:val="20"/>
          <w:szCs w:val="20"/>
        </w:rPr>
        <w:t>The information regarding the External rating (C0320) and Nominated ECAI (C0330) may be limited (not reported) in the following circumstances:</w:t>
      </w:r>
    </w:p>
    <w:p w:rsidR="00941E4D" w:rsidRPr="00A671EA" w:rsidRDefault="00941E4D" w:rsidP="00A671EA">
      <w:pPr>
        <w:pStyle w:val="ListParagraph"/>
        <w:numPr>
          <w:ilvl w:val="0"/>
          <w:numId w:val="16"/>
        </w:numPr>
        <w:spacing w:before="120" w:after="120" w:line="240" w:lineRule="auto"/>
        <w:ind w:left="714" w:hanging="357"/>
        <w:jc w:val="both"/>
        <w:rPr>
          <w:rFonts w:ascii="Times New Roman" w:hAnsi="Times New Roman" w:cs="Times New Roman"/>
          <w:sz w:val="20"/>
          <w:szCs w:val="20"/>
        </w:rPr>
      </w:pPr>
      <w:r w:rsidRPr="00A671EA">
        <w:rPr>
          <w:rFonts w:ascii="Times New Roman" w:hAnsi="Times New Roman" w:cs="Times New Roman"/>
          <w:sz w:val="20"/>
          <w:szCs w:val="20"/>
        </w:rPr>
        <w:t xml:space="preserve">through a decision of the national supervisory authority under article 35 (6) and (7) of the Directive 2009/138/EC; or </w:t>
      </w:r>
    </w:p>
    <w:p w:rsidR="00941E4D" w:rsidRPr="00A671EA" w:rsidRDefault="00941E4D" w:rsidP="00A671EA">
      <w:pPr>
        <w:pStyle w:val="ListParagraph"/>
        <w:numPr>
          <w:ilvl w:val="0"/>
          <w:numId w:val="16"/>
        </w:numPr>
        <w:spacing w:before="240" w:after="240" w:line="240" w:lineRule="auto"/>
        <w:jc w:val="both"/>
        <w:rPr>
          <w:rFonts w:ascii="Times New Roman" w:hAnsi="Times New Roman" w:cs="Times New Roman"/>
          <w:sz w:val="20"/>
          <w:szCs w:val="20"/>
        </w:rPr>
      </w:pPr>
      <w:r w:rsidRPr="00A671EA">
        <w:rPr>
          <w:rFonts w:ascii="Times New Roman" w:hAnsi="Times New Roman" w:cs="Times New Roman"/>
          <w:sz w:val="20"/>
          <w:szCs w:val="20"/>
        </w:rPr>
        <w:lastRenderedPageBreak/>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p w:rsidR="00970195" w:rsidRPr="00566107" w:rsidRDefault="00CC34E4" w:rsidP="00566107">
      <w:pPr>
        <w:jc w:val="both"/>
        <w:rPr>
          <w:rFonts w:ascii="Times New Roman" w:hAnsi="Times New Roman" w:cs="Times New Roman"/>
          <w:b/>
          <w:sz w:val="20"/>
          <w:szCs w:val="20"/>
        </w:rPr>
      </w:pPr>
      <w:r w:rsidRPr="00566107">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0" w:type="auto"/>
        <w:tblLook w:val="04A0" w:firstRow="1" w:lastRow="0" w:firstColumn="1" w:lastColumn="0" w:noHBand="0" w:noVBand="1"/>
      </w:tblPr>
      <w:tblGrid>
        <w:gridCol w:w="1483"/>
        <w:gridCol w:w="1933"/>
        <w:gridCol w:w="5826"/>
      </w:tblGrid>
      <w:tr w:rsidR="00FB2816" w:rsidRPr="006C2F0D" w:rsidTr="00566107">
        <w:trPr>
          <w:trHeight w:val="300"/>
        </w:trPr>
        <w:tc>
          <w:tcPr>
            <w:tcW w:w="1483" w:type="dxa"/>
            <w:noWrap/>
            <w:hideMark/>
          </w:tcPr>
          <w:p w:rsidR="00FB2816" w:rsidRPr="00566107" w:rsidRDefault="00FB2816" w:rsidP="00AB1264">
            <w:pPr>
              <w:spacing w:after="200" w:line="276" w:lineRule="auto"/>
              <w:jc w:val="center"/>
              <w:rPr>
                <w:rFonts w:ascii="Times New Roman" w:hAnsi="Times New Roman" w:cs="Times New Roman"/>
                <w:sz w:val="20"/>
                <w:szCs w:val="20"/>
              </w:rPr>
            </w:pPr>
          </w:p>
        </w:tc>
        <w:tc>
          <w:tcPr>
            <w:tcW w:w="1933" w:type="dxa"/>
            <w:hideMark/>
          </w:tcPr>
          <w:p w:rsidR="00FB2816" w:rsidRPr="00566107" w:rsidRDefault="00FB2816" w:rsidP="00AB1264">
            <w:pPr>
              <w:spacing w:after="200" w:line="276" w:lineRule="auto"/>
              <w:jc w:val="center"/>
              <w:rPr>
                <w:rFonts w:ascii="Times New Roman" w:hAnsi="Times New Roman" w:cs="Times New Roman"/>
                <w:b/>
                <w:bCs/>
                <w:sz w:val="20"/>
                <w:szCs w:val="20"/>
              </w:rPr>
            </w:pPr>
            <w:r w:rsidRPr="00566107">
              <w:rPr>
                <w:rFonts w:ascii="Times New Roman" w:hAnsi="Times New Roman" w:cs="Times New Roman"/>
                <w:b/>
                <w:bCs/>
                <w:sz w:val="20"/>
                <w:szCs w:val="20"/>
              </w:rPr>
              <w:t>ITEM</w:t>
            </w:r>
          </w:p>
        </w:tc>
        <w:tc>
          <w:tcPr>
            <w:tcW w:w="5826" w:type="dxa"/>
            <w:hideMark/>
          </w:tcPr>
          <w:p w:rsidR="00FB2816" w:rsidRPr="00566107" w:rsidRDefault="00FB2816" w:rsidP="00AB1264">
            <w:pPr>
              <w:spacing w:after="200" w:line="276" w:lineRule="auto"/>
              <w:jc w:val="center"/>
              <w:rPr>
                <w:rFonts w:ascii="Times New Roman" w:hAnsi="Times New Roman" w:cs="Times New Roman"/>
                <w:b/>
                <w:bCs/>
                <w:sz w:val="20"/>
                <w:szCs w:val="20"/>
              </w:rPr>
            </w:pPr>
            <w:r w:rsidRPr="00566107">
              <w:rPr>
                <w:rFonts w:ascii="Times New Roman" w:hAnsi="Times New Roman" w:cs="Times New Roman"/>
                <w:b/>
                <w:bCs/>
                <w:sz w:val="20"/>
                <w:szCs w:val="20"/>
              </w:rPr>
              <w:t>INSTRUCTIONS</w:t>
            </w:r>
          </w:p>
        </w:tc>
      </w:tr>
      <w:tr w:rsidR="00DE548D" w:rsidRPr="006C2F0D" w:rsidTr="00DE548D">
        <w:trPr>
          <w:trHeight w:val="1575"/>
        </w:trPr>
        <w:tc>
          <w:tcPr>
            <w:tcW w:w="1483" w:type="dxa"/>
            <w:hideMark/>
          </w:tcPr>
          <w:p w:rsidR="00DE548D" w:rsidRPr="0061769B" w:rsidRDefault="001F4EE2" w:rsidP="00A671EA">
            <w:pPr>
              <w:spacing w:line="276" w:lineRule="auto"/>
              <w:rPr>
                <w:rFonts w:ascii="Times New Roman" w:hAnsi="Times New Roman" w:cs="Times New Roman"/>
                <w:sz w:val="20"/>
                <w:szCs w:val="20"/>
              </w:rPr>
            </w:pPr>
            <w:r>
              <w:rPr>
                <w:rFonts w:ascii="Times New Roman" w:hAnsi="Times New Roman" w:cs="Times New Roman"/>
                <w:sz w:val="20"/>
                <w:szCs w:val="20"/>
              </w:rPr>
              <w:t>C004</w:t>
            </w:r>
            <w:r w:rsidR="00DE548D" w:rsidRPr="0061769B">
              <w:rPr>
                <w:rFonts w:ascii="Times New Roman" w:hAnsi="Times New Roman" w:cs="Times New Roman"/>
                <w:sz w:val="20"/>
                <w:szCs w:val="20"/>
              </w:rPr>
              <w:t>0</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26" w:type="dxa"/>
          </w:tcPr>
          <w:p w:rsidR="00DE548D"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sidR="00CE2F9D">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p w:rsidR="0032704D" w:rsidRPr="0061769B" w:rsidRDefault="0032704D"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DE548D" w:rsidRPr="006C2F0D" w:rsidTr="00DE548D">
        <w:trPr>
          <w:trHeight w:val="1519"/>
        </w:trPr>
        <w:tc>
          <w:tcPr>
            <w:tcW w:w="1483" w:type="dxa"/>
            <w:hideMark/>
          </w:tcPr>
          <w:p w:rsidR="00DE548D" w:rsidRPr="006C2F0D" w:rsidRDefault="001F4EE2" w:rsidP="00A671EA">
            <w:pPr>
              <w:pStyle w:val="NoSpacing"/>
            </w:pPr>
            <w:r>
              <w:rPr>
                <w:rFonts w:ascii="Times New Roman" w:hAnsi="Times New Roman" w:cs="Times New Roman"/>
                <w:sz w:val="20"/>
              </w:rPr>
              <w:t>C005</w:t>
            </w:r>
            <w:r w:rsidR="00DE548D" w:rsidRPr="0061769B">
              <w:rPr>
                <w:rFonts w:ascii="Times New Roman" w:hAnsi="Times New Roman" w:cs="Times New Roman"/>
                <w:sz w:val="20"/>
              </w:rPr>
              <w:t>0</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26"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 xml:space="preserve">4 </w:t>
            </w:r>
            <w:r w:rsidR="005016E5">
              <w:rPr>
                <w:rFonts w:ascii="Times New Roman" w:hAnsi="Times New Roman" w:cs="Times New Roman"/>
                <w:sz w:val="20"/>
                <w:szCs w:val="20"/>
              </w:rPr>
              <w:t>–</w:t>
            </w:r>
            <w:r w:rsidRPr="006C2F0D">
              <w:rPr>
                <w:rFonts w:ascii="Times New Roman" w:hAnsi="Times New Roman" w:cs="Times New Roman"/>
                <w:sz w:val="20"/>
                <w:szCs w:val="20"/>
              </w:rPr>
              <w:t xml:space="preserve"> </w:t>
            </w:r>
            <w:r w:rsidR="00C55835" w:rsidRPr="00C55835">
              <w:rPr>
                <w:rFonts w:ascii="Times New Roman" w:hAnsi="Times New Roman" w:cs="Times New Roman"/>
                <w:sz w:val="20"/>
                <w:szCs w:val="20"/>
              </w:rPr>
              <w:t>WKN</w:t>
            </w:r>
            <w:r w:rsidR="005016E5">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Kenn-Num</w:t>
            </w:r>
            <w:r w:rsidR="005016E5">
              <w:rPr>
                <w:rFonts w:ascii="Times New Roman" w:hAnsi="Times New Roman" w:cs="Times New Roman"/>
                <w:sz w:val="20"/>
                <w:szCs w:val="20"/>
              </w:rPr>
              <w:t>m</w:t>
            </w:r>
            <w:r w:rsidRPr="006C2F0D">
              <w:rPr>
                <w:rFonts w:ascii="Times New Roman" w:hAnsi="Times New Roman" w:cs="Times New Roman"/>
                <w:sz w:val="20"/>
                <w:szCs w:val="20"/>
              </w:rPr>
              <w:t>er</w:t>
            </w:r>
            <w:proofErr w:type="spellEnd"/>
            <w:r w:rsidRPr="006C2F0D">
              <w:rPr>
                <w:rFonts w:ascii="Times New Roman" w:hAnsi="Times New Roman" w:cs="Times New Roman"/>
                <w:sz w:val="20"/>
                <w:szCs w:val="20"/>
              </w:rPr>
              <w:t>, the alphanumeric German identification number</w:t>
            </w:r>
            <w:r w:rsidR="005016E5">
              <w:rPr>
                <w:rFonts w:ascii="Times New Roman" w:hAnsi="Times New Roman" w:cs="Times New Roman"/>
                <w:sz w:val="20"/>
                <w:szCs w:val="20"/>
              </w:rPr>
              <w:t>)</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DE548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DE548D" w:rsidRPr="0061769B" w:rsidRDefault="00DE548D" w:rsidP="0061769B">
            <w:pPr>
              <w:spacing w:line="276" w:lineRule="auto"/>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6D39DC" w:rsidRPr="00A671EA" w:rsidRDefault="006D39DC" w:rsidP="0061769B">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A671EA">
              <w:rPr>
                <w:rFonts w:ascii="Times New Roman" w:hAnsi="Times New Roman" w:cs="Times New Roman"/>
                <w:sz w:val="20"/>
                <w:szCs w:val="20"/>
              </w:rPr>
              <w:t>FIGI (Financial Instrument Global Identifier)</w:t>
            </w:r>
          </w:p>
          <w:p w:rsidR="006D39DC" w:rsidRPr="006C2F0D" w:rsidRDefault="006D39DC" w:rsidP="0061769B">
            <w:pPr>
              <w:spacing w:line="276" w:lineRule="auto"/>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 xml:space="preserve"> </w:t>
            </w:r>
            <w:r w:rsidR="00DE548D">
              <w:rPr>
                <w:rFonts w:ascii="Times New Roman" w:hAnsi="Times New Roman" w:cs="Times New Roman"/>
                <w:sz w:val="20"/>
                <w:szCs w:val="20"/>
              </w:rPr>
              <w:t>-</w:t>
            </w:r>
            <w:r w:rsidR="00DE548D" w:rsidRPr="006C2F0D">
              <w:rPr>
                <w:rFonts w:ascii="Times New Roman" w:hAnsi="Times New Roman" w:cs="Times New Roman"/>
                <w:sz w:val="20"/>
                <w:szCs w:val="20"/>
              </w:rPr>
              <w:t xml:space="preserve"> Other code by members of the Association of</w:t>
            </w:r>
            <w:r w:rsidR="00DE548D">
              <w:rPr>
                <w:rFonts w:ascii="Times New Roman" w:hAnsi="Times New Roman" w:cs="Times New Roman"/>
                <w:sz w:val="20"/>
                <w:szCs w:val="20"/>
              </w:rPr>
              <w:t xml:space="preserve"> </w:t>
            </w:r>
            <w:r w:rsidR="00DE548D" w:rsidRPr="006C2F0D">
              <w:rPr>
                <w:rFonts w:ascii="Times New Roman" w:hAnsi="Times New Roman" w:cs="Times New Roman"/>
                <w:sz w:val="20"/>
                <w:szCs w:val="20"/>
              </w:rPr>
              <w:t xml:space="preserve"> National Numbering Agencies</w:t>
            </w:r>
          </w:p>
          <w:p w:rsidR="0032704D" w:rsidRDefault="006D39DC"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9 - Code attributed by the undertaking</w:t>
            </w:r>
          </w:p>
          <w:p w:rsidR="00DE548D" w:rsidRPr="0061769B" w:rsidRDefault="0032704D" w:rsidP="00A7253F">
            <w:pPr>
              <w:spacing w:after="200" w:line="276" w:lineRule="auto"/>
              <w:rPr>
                <w:rFonts w:ascii="Times New Roman" w:hAnsi="Times New Roman" w:cs="Times New Roman"/>
                <w:sz w:val="20"/>
                <w:szCs w:val="20"/>
              </w:rPr>
            </w:pPr>
            <w:r>
              <w:rPr>
                <w:rFonts w:ascii="Times New Roman" w:hAnsi="Times New Roman" w:cs="Times New Roman"/>
                <w:sz w:val="20"/>
                <w:szCs w:val="20"/>
              </w:rPr>
              <w:t>When the same Asset ID Code needs to be reported for one asset that is issued in 2 or more different currencies</w:t>
            </w:r>
            <w:r w:rsidR="00A7253F">
              <w:rPr>
                <w:rFonts w:ascii="Times New Roman" w:hAnsi="Times New Roman" w:cs="Times New Roman"/>
                <w:sz w:val="20"/>
                <w:szCs w:val="20"/>
              </w:rPr>
              <w:t xml:space="preserve"> and the code in C0040 is defined by Asset ID code and the ISO </w:t>
            </w:r>
            <w:r w:rsidR="00A7253F"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w:t>
            </w:r>
            <w:r w:rsidR="00A7253F">
              <w:rPr>
                <w:rFonts w:ascii="Times New Roman" w:hAnsi="Times New Roman" w:cs="Times New Roman"/>
                <w:sz w:val="20"/>
                <w:szCs w:val="20"/>
              </w:rPr>
              <w:t>refer to</w:t>
            </w:r>
            <w:r>
              <w:rPr>
                <w:rFonts w:ascii="Times New Roman" w:hAnsi="Times New Roman" w:cs="Times New Roman"/>
                <w:sz w:val="20"/>
                <w:szCs w:val="20"/>
              </w:rPr>
              <w:t xml:space="preserve"> option 9 and the option of the original Asset ID Code, as in the following example</w:t>
            </w:r>
            <w:r w:rsidR="00A7253F">
              <w:rPr>
                <w:rFonts w:ascii="Times New Roman" w:hAnsi="Times New Roman" w:cs="Times New Roman"/>
                <w:sz w:val="20"/>
                <w:szCs w:val="20"/>
              </w:rPr>
              <w:t xml:space="preserve"> for which the code reported was ISIN </w:t>
            </w:r>
            <w:proofErr w:type="spellStart"/>
            <w:r w:rsidR="00A7253F">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7C4B56" w:rsidRPr="006C2F0D" w:rsidTr="00566107">
        <w:trPr>
          <w:trHeight w:val="2390"/>
        </w:trPr>
        <w:tc>
          <w:tcPr>
            <w:tcW w:w="1483" w:type="dxa"/>
            <w:hideMark/>
          </w:tcPr>
          <w:p w:rsidR="00287E2A" w:rsidRPr="00566107" w:rsidRDefault="007446C4" w:rsidP="00A671EA">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6</w:t>
            </w:r>
            <w:r w:rsidRPr="00566107">
              <w:rPr>
                <w:rFonts w:ascii="Times New Roman" w:hAnsi="Times New Roman" w:cs="Times New Roman"/>
                <w:sz w:val="20"/>
                <w:szCs w:val="20"/>
              </w:rPr>
              <w:t>0</w:t>
            </w:r>
          </w:p>
        </w:tc>
        <w:tc>
          <w:tcPr>
            <w:tcW w:w="1933" w:type="dxa"/>
            <w:hideMark/>
          </w:tcPr>
          <w:p w:rsidR="007C4B56" w:rsidRPr="00566107" w:rsidRDefault="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Portfolio</w:t>
            </w:r>
          </w:p>
        </w:tc>
        <w:tc>
          <w:tcPr>
            <w:tcW w:w="5826" w:type="dxa"/>
            <w:hideMark/>
          </w:tcPr>
          <w:p w:rsidR="007C4B56" w:rsidRPr="00566107" w:rsidRDefault="007C4B56" w:rsidP="00566107">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1 - </w:t>
            </w:r>
            <w:r w:rsidRPr="00566107">
              <w:rPr>
                <w:rFonts w:ascii="Times New Roman" w:hAnsi="Times New Roman" w:cs="Times New Roman"/>
                <w:sz w:val="20"/>
                <w:szCs w:val="20"/>
              </w:rPr>
              <w:t>Life</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2 - </w:t>
            </w:r>
            <w:r w:rsidR="004B5345" w:rsidRPr="006C2F0D">
              <w:rPr>
                <w:rFonts w:ascii="Times New Roman" w:hAnsi="Times New Roman" w:cs="Times New Roman"/>
                <w:sz w:val="20"/>
                <w:szCs w:val="20"/>
              </w:rPr>
              <w:t>Non-life</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3 - Ring fenced funds</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4 - Other internal fund</w:t>
            </w:r>
            <w:r w:rsidR="00777A70" w:rsidRPr="006C2F0D">
              <w:rPr>
                <w:rFonts w:ascii="Times New Roman" w:hAnsi="Times New Roman" w:cs="Times New Roman"/>
                <w:sz w:val="20"/>
                <w:szCs w:val="20"/>
              </w:rPr>
              <w:t>s</w:t>
            </w:r>
            <w:r w:rsidR="007C4B56" w:rsidRPr="00566107">
              <w:rPr>
                <w:rFonts w:ascii="Times New Roman" w:hAnsi="Times New Roman" w:cs="Times New Roman"/>
                <w:sz w:val="20"/>
                <w:szCs w:val="20"/>
              </w:rPr>
              <w:t xml:space="preserve">  </w:t>
            </w:r>
          </w:p>
          <w:p w:rsidR="007C4B56" w:rsidRPr="00566107" w:rsidRDefault="00980CFA" w:rsidP="00566107">
            <w:pPr>
              <w:spacing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007C4B56" w:rsidRPr="00566107">
              <w:rPr>
                <w:rFonts w:ascii="Times New Roman" w:hAnsi="Times New Roman" w:cs="Times New Roman"/>
                <w:sz w:val="20"/>
                <w:szCs w:val="20"/>
              </w:rPr>
              <w:t>Shareholders' funds</w:t>
            </w:r>
            <w:r w:rsidR="007C4B56" w:rsidRPr="00566107">
              <w:rPr>
                <w:rFonts w:ascii="Times New Roman" w:hAnsi="Times New Roman" w:cs="Times New Roman"/>
                <w:sz w:val="20"/>
                <w:szCs w:val="20"/>
              </w:rPr>
              <w:br/>
            </w:r>
            <w:r w:rsidRPr="006C2F0D">
              <w:rPr>
                <w:rFonts w:ascii="Times New Roman" w:hAnsi="Times New Roman" w:cs="Times New Roman"/>
                <w:sz w:val="20"/>
                <w:szCs w:val="20"/>
              </w:rPr>
              <w:t xml:space="preserve">6 - </w:t>
            </w:r>
            <w:r w:rsidR="007C4B56" w:rsidRPr="00566107">
              <w:rPr>
                <w:rFonts w:ascii="Times New Roman" w:hAnsi="Times New Roman" w:cs="Times New Roman"/>
                <w:sz w:val="20"/>
                <w:szCs w:val="20"/>
              </w:rPr>
              <w:t>General</w:t>
            </w:r>
            <w:r w:rsidR="007C4B56" w:rsidRPr="00566107">
              <w:rPr>
                <w:rFonts w:ascii="Times New Roman" w:hAnsi="Times New Roman" w:cs="Times New Roman"/>
                <w:sz w:val="20"/>
                <w:szCs w:val="20"/>
              </w:rPr>
              <w:br/>
            </w:r>
          </w:p>
          <w:p w:rsidR="007C4B56" w:rsidRPr="00566107" w:rsidRDefault="007C4B56"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The split is not mandatory, except for identifying ring fenced funds, but </w:t>
            </w:r>
            <w:r w:rsidR="00AA78FE"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005B2E6D"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tr w:rsidR="00FB2816" w:rsidRPr="006C2F0D" w:rsidTr="00566107">
        <w:trPr>
          <w:trHeight w:val="1466"/>
        </w:trPr>
        <w:tc>
          <w:tcPr>
            <w:tcW w:w="1483" w:type="dxa"/>
            <w:hideMark/>
          </w:tcPr>
          <w:p w:rsidR="00287E2A" w:rsidRPr="00566107" w:rsidRDefault="007446C4" w:rsidP="00A671EA">
            <w:pPr>
              <w:spacing w:line="276" w:lineRule="auto"/>
              <w:rPr>
                <w:rFonts w:ascii="Times New Roman" w:hAnsi="Times New Roman" w:cs="Times New Roman"/>
                <w:sz w:val="20"/>
                <w:szCs w:val="20"/>
              </w:rPr>
            </w:pPr>
            <w:r w:rsidRPr="00566107">
              <w:rPr>
                <w:rFonts w:ascii="Times New Roman" w:hAnsi="Times New Roman" w:cs="Times New Roman"/>
                <w:sz w:val="20"/>
                <w:szCs w:val="20"/>
              </w:rPr>
              <w:lastRenderedPageBreak/>
              <w:t>C00</w:t>
            </w:r>
            <w:r w:rsidR="001F4EE2">
              <w:rPr>
                <w:rFonts w:ascii="Times New Roman" w:hAnsi="Times New Roman" w:cs="Times New Roman"/>
                <w:sz w:val="20"/>
                <w:szCs w:val="20"/>
              </w:rPr>
              <w:t>7</w:t>
            </w:r>
            <w:r w:rsidRPr="00566107">
              <w:rPr>
                <w:rFonts w:ascii="Times New Roman" w:hAnsi="Times New Roman" w:cs="Times New Roman"/>
                <w:sz w:val="20"/>
                <w:szCs w:val="20"/>
              </w:rPr>
              <w:t>0</w:t>
            </w:r>
          </w:p>
        </w:tc>
        <w:tc>
          <w:tcPr>
            <w:tcW w:w="1933" w:type="dxa"/>
            <w:hideMark/>
          </w:tcPr>
          <w:p w:rsidR="00FB2816" w:rsidRPr="00566107" w:rsidRDefault="00FB2816" w:rsidP="00966B11">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Fund </w:t>
            </w:r>
            <w:r w:rsidR="00966B11" w:rsidRPr="00566107">
              <w:rPr>
                <w:rFonts w:ascii="Times New Roman" w:hAnsi="Times New Roman" w:cs="Times New Roman"/>
                <w:sz w:val="20"/>
                <w:szCs w:val="20"/>
              </w:rPr>
              <w:t>n</w:t>
            </w:r>
            <w:r w:rsidRPr="00566107">
              <w:rPr>
                <w:rFonts w:ascii="Times New Roman" w:hAnsi="Times New Roman" w:cs="Times New Roman"/>
                <w:sz w:val="20"/>
                <w:szCs w:val="20"/>
              </w:rPr>
              <w:t>umber</w:t>
            </w:r>
          </w:p>
        </w:tc>
        <w:tc>
          <w:tcPr>
            <w:tcW w:w="5826" w:type="dxa"/>
            <w:hideMark/>
          </w:tcPr>
          <w:p w:rsidR="009078D4" w:rsidRPr="00566107" w:rsidRDefault="009078D4" w:rsidP="00720C5F">
            <w:pPr>
              <w:spacing w:after="200" w:line="276" w:lineRule="auto"/>
              <w:rPr>
                <w:rFonts w:ascii="Times New Roman" w:hAnsi="Times New Roman" w:cs="Times New Roman"/>
                <w:sz w:val="20"/>
                <w:szCs w:val="20"/>
                <w:lang w:val="en-US" w:eastAsia="fr-FR"/>
              </w:rPr>
            </w:pPr>
            <w:r w:rsidRPr="002670DE">
              <w:rPr>
                <w:rFonts w:ascii="Times New Roman" w:hAnsi="Times New Roman" w:cs="Times New Roman"/>
                <w:sz w:val="20"/>
                <w:szCs w:val="20"/>
              </w:rPr>
              <w:t>Applicable to assets held in ring fenced funds or other internal funds (defined according to national markets).</w:t>
            </w:r>
          </w:p>
          <w:p w:rsidR="00FB2816" w:rsidRPr="00566107" w:rsidRDefault="006745F4" w:rsidP="008B2649">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6A72FF" w:rsidRPr="006C2F0D" w:rsidTr="00566107">
        <w:trPr>
          <w:trHeight w:val="1475"/>
        </w:trPr>
        <w:tc>
          <w:tcPr>
            <w:tcW w:w="1483" w:type="dxa"/>
          </w:tcPr>
          <w:p w:rsidR="006A72FF" w:rsidRPr="00566107" w:rsidRDefault="006A72FF" w:rsidP="00764C3A">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8</w:t>
            </w:r>
            <w:r w:rsidRPr="00566107">
              <w:rPr>
                <w:rFonts w:ascii="Times New Roman" w:hAnsi="Times New Roman" w:cs="Times New Roman"/>
                <w:sz w:val="20"/>
                <w:szCs w:val="20"/>
              </w:rPr>
              <w:t>0</w:t>
            </w:r>
          </w:p>
        </w:tc>
        <w:tc>
          <w:tcPr>
            <w:tcW w:w="1933" w:type="dxa"/>
          </w:tcPr>
          <w:p w:rsidR="006A72FF" w:rsidRPr="00566107" w:rsidRDefault="006A72FF" w:rsidP="00672A53">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Matching portfolio number</w:t>
            </w:r>
          </w:p>
        </w:tc>
        <w:tc>
          <w:tcPr>
            <w:tcW w:w="5826" w:type="dxa"/>
          </w:tcPr>
          <w:p w:rsidR="00777A70" w:rsidRPr="00566107" w:rsidRDefault="006745F4" w:rsidP="00566107">
            <w:pPr>
              <w:spacing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matching adjustment portfolio</w:t>
            </w:r>
            <w:r w:rsidR="0032704D">
              <w:rPr>
                <w:rFonts w:ascii="Times New Roman" w:hAnsi="Times New Roman" w:cs="Times New Roman"/>
                <w:sz w:val="20"/>
                <w:szCs w:val="20"/>
              </w:rPr>
              <w:t xml:space="preserve"> as prescribed in Article </w:t>
            </w:r>
            <w:proofErr w:type="gramStart"/>
            <w:r w:rsidR="0032704D">
              <w:rPr>
                <w:rFonts w:ascii="Times New Roman" w:hAnsi="Times New Roman" w:cs="Times New Roman"/>
                <w:sz w:val="20"/>
                <w:szCs w:val="20"/>
              </w:rPr>
              <w:t>77b(</w:t>
            </w:r>
            <w:proofErr w:type="gramEnd"/>
            <w:r w:rsidR="0032704D">
              <w:rPr>
                <w:rFonts w:ascii="Times New Roman" w:hAnsi="Times New Roman" w:cs="Times New Roman"/>
                <w:sz w:val="20"/>
                <w:szCs w:val="20"/>
              </w:rPr>
              <w:t xml:space="preserve">1)(a) of Directive </w:t>
            </w:r>
            <w:r w:rsidR="0032704D" w:rsidRPr="0061769B">
              <w:rPr>
                <w:rFonts w:ascii="Times New Roman" w:hAnsi="Times New Roman" w:cs="Times New Roman"/>
                <w:sz w:val="20"/>
                <w:szCs w:val="20"/>
              </w:rPr>
              <w:t>2009/138/EC</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7C4B56" w:rsidRPr="006C2F0D" w:rsidTr="00566107">
        <w:trPr>
          <w:trHeight w:val="1241"/>
        </w:trPr>
        <w:tc>
          <w:tcPr>
            <w:tcW w:w="1483" w:type="dxa"/>
            <w:hideMark/>
          </w:tcPr>
          <w:p w:rsidR="007C4B56" w:rsidRPr="00566107" w:rsidRDefault="007446C4" w:rsidP="00A671EA">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9</w:t>
            </w:r>
            <w:r w:rsidRPr="00566107">
              <w:rPr>
                <w:rFonts w:ascii="Times New Roman" w:hAnsi="Times New Roman" w:cs="Times New Roman"/>
                <w:sz w:val="20"/>
                <w:szCs w:val="20"/>
              </w:rPr>
              <w:t>0</w:t>
            </w:r>
          </w:p>
        </w:tc>
        <w:tc>
          <w:tcPr>
            <w:tcW w:w="1933" w:type="dxa"/>
            <w:hideMark/>
          </w:tcPr>
          <w:p w:rsidR="007C4B56" w:rsidRPr="00566107" w:rsidRDefault="007C4B56" w:rsidP="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Asset held in unit linked and index linked contracts </w:t>
            </w:r>
          </w:p>
        </w:tc>
        <w:tc>
          <w:tcPr>
            <w:tcW w:w="5826" w:type="dxa"/>
            <w:hideMark/>
          </w:tcPr>
          <w:p w:rsidR="000A5AEC" w:rsidRPr="00566107" w:rsidRDefault="007C4B56" w:rsidP="00566107">
            <w:pPr>
              <w:rPr>
                <w:rFonts w:ascii="Times New Roman" w:hAnsi="Times New Roman" w:cs="Times New Roman"/>
                <w:sz w:val="20"/>
                <w:szCs w:val="20"/>
                <w:lang w:val="en-US"/>
              </w:rPr>
            </w:pPr>
            <w:r w:rsidRPr="00566107">
              <w:rPr>
                <w:rFonts w:ascii="Times New Roman" w:hAnsi="Times New Roman" w:cs="Times New Roman"/>
                <w:sz w:val="20"/>
                <w:szCs w:val="20"/>
              </w:rPr>
              <w:t>Identify the assets that are held by unit linked and index linked</w:t>
            </w:r>
            <w:r w:rsidR="00966B11" w:rsidRPr="00566107">
              <w:rPr>
                <w:rFonts w:ascii="Times New Roman" w:hAnsi="Times New Roman" w:cs="Times New Roman"/>
                <w:sz w:val="20"/>
                <w:szCs w:val="20"/>
              </w:rPr>
              <w:t xml:space="preserve"> contracts</w:t>
            </w:r>
            <w:r w:rsidRPr="00566107">
              <w:rPr>
                <w:rFonts w:ascii="Times New Roman" w:hAnsi="Times New Roman" w:cs="Times New Roman"/>
                <w:sz w:val="20"/>
                <w:szCs w:val="20"/>
              </w:rPr>
              <w:t>. One of the options in the following closed list shall be used:</w:t>
            </w:r>
            <w:r w:rsidRPr="00566107">
              <w:rPr>
                <w:rFonts w:ascii="Times New Roman" w:hAnsi="Times New Roman" w:cs="Times New Roman"/>
                <w:sz w:val="20"/>
                <w:szCs w:val="20"/>
              </w:rPr>
              <w:br/>
            </w:r>
            <w:r w:rsidR="000A5AEC" w:rsidRPr="00566107">
              <w:rPr>
                <w:rFonts w:ascii="Times New Roman" w:hAnsi="Times New Roman" w:cs="Times New Roman"/>
                <w:sz w:val="20"/>
                <w:szCs w:val="20"/>
                <w:lang w:val="en-US"/>
              </w:rPr>
              <w:t>1</w:t>
            </w:r>
            <w:r w:rsidR="000A67B7" w:rsidRPr="006C2F0D">
              <w:rPr>
                <w:rFonts w:ascii="Times New Roman" w:hAnsi="Times New Roman" w:cs="Times New Roman"/>
                <w:sz w:val="20"/>
                <w:szCs w:val="20"/>
                <w:lang w:val="en-US"/>
              </w:rPr>
              <w:t xml:space="preserve"> - </w:t>
            </w:r>
            <w:r w:rsidR="000A5AEC" w:rsidRPr="00566107">
              <w:rPr>
                <w:rFonts w:ascii="Times New Roman" w:hAnsi="Times New Roman" w:cs="Times New Roman"/>
                <w:sz w:val="20"/>
                <w:szCs w:val="20"/>
                <w:lang w:val="en-US"/>
              </w:rPr>
              <w:t>Unit-linked or index-linked</w:t>
            </w:r>
          </w:p>
          <w:p w:rsidR="007C4B56" w:rsidRPr="00566107" w:rsidRDefault="000A5AEC"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lang w:val="en-US"/>
              </w:rPr>
              <w:t>2</w:t>
            </w:r>
            <w:r w:rsidR="000A67B7" w:rsidRPr="006C2F0D">
              <w:rPr>
                <w:rFonts w:ascii="Times New Roman" w:hAnsi="Times New Roman" w:cs="Times New Roman"/>
                <w:sz w:val="20"/>
                <w:szCs w:val="20"/>
                <w:lang w:val="en-US"/>
              </w:rPr>
              <w:t xml:space="preserve"> - </w:t>
            </w:r>
            <w:r w:rsidRPr="00566107">
              <w:rPr>
                <w:rFonts w:ascii="Times New Roman" w:hAnsi="Times New Roman" w:cs="Times New Roman"/>
                <w:sz w:val="20"/>
                <w:szCs w:val="20"/>
                <w:lang w:val="en-US"/>
              </w:rPr>
              <w:t>Neither unit-linked nor index-linked</w:t>
            </w:r>
          </w:p>
        </w:tc>
      </w:tr>
      <w:tr w:rsidR="000371BC" w:rsidRPr="006C2F0D" w:rsidTr="00566107">
        <w:trPr>
          <w:trHeight w:val="2489"/>
        </w:trPr>
        <w:tc>
          <w:tcPr>
            <w:tcW w:w="1483" w:type="dxa"/>
            <w:hideMark/>
          </w:tcPr>
          <w:p w:rsidR="000371BC" w:rsidRPr="00566107" w:rsidRDefault="007446C4" w:rsidP="00A671EA">
            <w:pPr>
              <w:pStyle w:val="NoSpacing"/>
              <w:rPr>
                <w:rFonts w:ascii="Times New Roman" w:hAnsi="Times New Roman" w:cs="Times New Roman"/>
                <w:sz w:val="20"/>
                <w:szCs w:val="20"/>
              </w:rPr>
            </w:pPr>
            <w:r w:rsidRPr="00566107">
              <w:rPr>
                <w:rFonts w:ascii="Times New Roman" w:hAnsi="Times New Roman" w:cs="Times New Roman"/>
                <w:sz w:val="20"/>
              </w:rPr>
              <w:t>C0</w:t>
            </w:r>
            <w:r w:rsidR="00764C3A" w:rsidRPr="00566107">
              <w:rPr>
                <w:rFonts w:ascii="Times New Roman" w:hAnsi="Times New Roman" w:cs="Times New Roman"/>
                <w:sz w:val="20"/>
              </w:rPr>
              <w:t>10</w:t>
            </w:r>
            <w:r w:rsidRPr="00566107">
              <w:rPr>
                <w:rFonts w:ascii="Times New Roman" w:hAnsi="Times New Roman" w:cs="Times New Roman"/>
                <w:sz w:val="20"/>
              </w:rPr>
              <w:t>0</w:t>
            </w:r>
          </w:p>
        </w:tc>
        <w:tc>
          <w:tcPr>
            <w:tcW w:w="1933"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pledged as collateral</w:t>
            </w:r>
          </w:p>
        </w:tc>
        <w:tc>
          <w:tcPr>
            <w:tcW w:w="5826"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Identify assets kept in the </w:t>
            </w:r>
            <w:r w:rsidR="00F40635" w:rsidRPr="00566107">
              <w:rPr>
                <w:rFonts w:ascii="Times New Roman" w:hAnsi="Times New Roman" w:cs="Times New Roman"/>
                <w:sz w:val="20"/>
                <w:szCs w:val="20"/>
              </w:rPr>
              <w:t>u</w:t>
            </w:r>
            <w:r w:rsidRPr="00566107">
              <w:rPr>
                <w:rFonts w:ascii="Times New Roman" w:hAnsi="Times New Roman" w:cs="Times New Roman"/>
                <w:sz w:val="20"/>
                <w:szCs w:val="20"/>
              </w:rPr>
              <w:t>ndertaking</w:t>
            </w:r>
            <w:r w:rsidR="009B13D8">
              <w:rPr>
                <w:rFonts w:ascii="Times New Roman" w:hAnsi="Times New Roman" w:cs="Times New Roman"/>
                <w:sz w:val="20"/>
                <w:szCs w:val="20"/>
              </w:rPr>
              <w:t>’s</w:t>
            </w:r>
            <w:r w:rsidRPr="00566107">
              <w:rPr>
                <w:rFonts w:ascii="Times New Roman" w:hAnsi="Times New Roman" w:cs="Times New Roman"/>
                <w:sz w:val="20"/>
                <w:szCs w:val="20"/>
              </w:rPr>
              <w:t xml:space="preserve"> balance-sheet that are </w:t>
            </w:r>
            <w:r w:rsidR="00ED7263" w:rsidRPr="006C2F0D">
              <w:rPr>
                <w:rFonts w:ascii="Times New Roman" w:hAnsi="Times New Roman" w:cs="Times New Roman"/>
                <w:sz w:val="20"/>
                <w:szCs w:val="20"/>
              </w:rPr>
              <w:t>pledged</w:t>
            </w:r>
            <w:r w:rsidR="00764C3A" w:rsidRPr="00566107">
              <w:rPr>
                <w:rFonts w:ascii="Times New Roman" w:hAnsi="Times New Roman" w:cs="Times New Roman"/>
                <w:sz w:val="20"/>
                <w:szCs w:val="20"/>
              </w:rPr>
              <w:t xml:space="preserve"> as collateral</w:t>
            </w:r>
            <w:r w:rsidRPr="00566107">
              <w:rPr>
                <w:rFonts w:ascii="Times New Roman" w:hAnsi="Times New Roman" w:cs="Times New Roman"/>
                <w:sz w:val="20"/>
                <w:szCs w:val="20"/>
              </w:rPr>
              <w:t>. For partially pledge</w:t>
            </w:r>
            <w:r w:rsidR="00720C5F">
              <w:rPr>
                <w:rFonts w:ascii="Times New Roman" w:hAnsi="Times New Roman" w:cs="Times New Roman"/>
                <w:sz w:val="20"/>
                <w:szCs w:val="20"/>
              </w:rPr>
              <w:t>d</w:t>
            </w:r>
            <w:r w:rsidRPr="00566107">
              <w:rPr>
                <w:rFonts w:ascii="Times New Roman" w:hAnsi="Times New Roman" w:cs="Times New Roman"/>
                <w:sz w:val="20"/>
                <w:szCs w:val="20"/>
              </w:rPr>
              <w:t xml:space="preserve"> assets two lines for each asset shall be reported, one for the pledged amount and</w:t>
            </w:r>
            <w:r w:rsidR="004918B4">
              <w:rPr>
                <w:rFonts w:ascii="Times New Roman" w:hAnsi="Times New Roman" w:cs="Times New Roman"/>
                <w:sz w:val="20"/>
                <w:szCs w:val="20"/>
              </w:rPr>
              <w:t xml:space="preserve"> an</w:t>
            </w:r>
            <w:r w:rsidRPr="00566107">
              <w:rPr>
                <w:rFonts w:ascii="Times New Roman" w:hAnsi="Times New Roman" w:cs="Times New Roman"/>
                <w:sz w:val="20"/>
                <w:szCs w:val="20"/>
              </w:rPr>
              <w:t>other for the remaining part. One of the options in the following</w:t>
            </w:r>
            <w:r w:rsidR="00AE4842" w:rsidRPr="00566107">
              <w:rPr>
                <w:rFonts w:ascii="Times New Roman" w:hAnsi="Times New Roman" w:cs="Times New Roman"/>
                <w:sz w:val="20"/>
                <w:szCs w:val="20"/>
              </w:rPr>
              <w:t xml:space="preserve"> closed</w:t>
            </w:r>
            <w:r w:rsidRPr="00566107">
              <w:rPr>
                <w:rFonts w:ascii="Times New Roman" w:hAnsi="Times New Roman" w:cs="Times New Roman"/>
                <w:sz w:val="20"/>
                <w:szCs w:val="20"/>
              </w:rPr>
              <w:t xml:space="preserve"> list shall be used for the pledged part of the asset:</w:t>
            </w:r>
          </w:p>
          <w:p w:rsidR="000371BC"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1</w:t>
            </w:r>
            <w:r w:rsidR="006C6E40">
              <w:rPr>
                <w:rFonts w:ascii="Times New Roman" w:hAnsi="Times New Roman" w:cs="Times New Roman"/>
                <w:sz w:val="20"/>
                <w:szCs w:val="20"/>
              </w:rPr>
              <w:t xml:space="preserve"> </w:t>
            </w:r>
            <w:r w:rsidRPr="006C2F0D">
              <w:rPr>
                <w:rFonts w:ascii="Times New Roman" w:hAnsi="Times New Roman" w:cs="Times New Roman"/>
                <w:sz w:val="20"/>
                <w:szCs w:val="20"/>
              </w:rPr>
              <w:t>- A</w:t>
            </w:r>
            <w:r w:rsidR="000371BC" w:rsidRPr="00566107">
              <w:rPr>
                <w:rFonts w:ascii="Times New Roman" w:hAnsi="Times New Roman" w:cs="Times New Roman"/>
                <w:sz w:val="20"/>
                <w:szCs w:val="20"/>
              </w:rPr>
              <w:t>ssets in the balance sheet that are collateral pledged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2 - </w:t>
            </w:r>
            <w:r w:rsidR="000371BC" w:rsidRPr="00566107">
              <w:rPr>
                <w:rFonts w:ascii="Times New Roman" w:hAnsi="Times New Roman" w:cs="Times New Roman"/>
                <w:sz w:val="20"/>
                <w:szCs w:val="20"/>
              </w:rPr>
              <w:t>Collateral for reinsurance accepted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3 - </w:t>
            </w:r>
            <w:r w:rsidR="000371BC" w:rsidRPr="00566107">
              <w:rPr>
                <w:rFonts w:ascii="Times New Roman" w:hAnsi="Times New Roman" w:cs="Times New Roman"/>
                <w:sz w:val="20"/>
                <w:szCs w:val="20"/>
              </w:rPr>
              <w:t>Collateral for securities borrowed</w:t>
            </w:r>
          </w:p>
          <w:p w:rsidR="00966B11"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4 </w:t>
            </w:r>
            <w:r w:rsidR="000371BC" w:rsidRPr="00566107">
              <w:rPr>
                <w:rFonts w:ascii="Times New Roman" w:hAnsi="Times New Roman" w:cs="Times New Roman"/>
                <w:sz w:val="20"/>
                <w:szCs w:val="20"/>
              </w:rPr>
              <w:t>- Repos</w:t>
            </w:r>
          </w:p>
          <w:p w:rsidR="000371BC" w:rsidRPr="00566107" w:rsidRDefault="00A7253F">
            <w:pPr>
              <w:spacing w:after="200" w:line="276" w:lineRule="auto"/>
              <w:contextualSpacing/>
              <w:rPr>
                <w:rFonts w:ascii="Times New Roman" w:hAnsi="Times New Roman" w:cs="Times New Roman"/>
                <w:sz w:val="20"/>
                <w:szCs w:val="20"/>
              </w:rPr>
            </w:pPr>
            <w:r>
              <w:rPr>
                <w:rFonts w:ascii="Times New Roman" w:hAnsi="Times New Roman" w:cs="Times New Roman"/>
                <w:sz w:val="20"/>
                <w:szCs w:val="20"/>
              </w:rPr>
              <w:t>9</w:t>
            </w:r>
            <w:r w:rsidR="00263A71" w:rsidRPr="006C2F0D">
              <w:rPr>
                <w:rFonts w:ascii="Times New Roman" w:hAnsi="Times New Roman" w:cs="Times New Roman"/>
                <w:sz w:val="20"/>
                <w:szCs w:val="20"/>
              </w:rPr>
              <w:t xml:space="preserve"> - </w:t>
            </w:r>
            <w:r w:rsidR="00966B11" w:rsidRPr="00566107">
              <w:rPr>
                <w:rFonts w:ascii="Times New Roman" w:hAnsi="Times New Roman" w:cs="Times New Roman"/>
                <w:sz w:val="20"/>
                <w:szCs w:val="20"/>
              </w:rPr>
              <w:t>Not collateral</w:t>
            </w:r>
          </w:p>
        </w:tc>
      </w:tr>
      <w:tr w:rsidR="00DE548D" w:rsidRPr="006C2F0D" w:rsidTr="0061769B">
        <w:trPr>
          <w:trHeight w:val="990"/>
        </w:trPr>
        <w:tc>
          <w:tcPr>
            <w:tcW w:w="1483" w:type="dxa"/>
            <w:vMerge w:val="restart"/>
            <w:hideMark/>
          </w:tcPr>
          <w:p w:rsidR="00DE548D" w:rsidRPr="0061769B" w:rsidRDefault="001F4EE2" w:rsidP="00A671EA">
            <w:pPr>
              <w:pStyle w:val="NoSpacing"/>
              <w:rPr>
                <w:rFonts w:ascii="Times New Roman" w:hAnsi="Times New Roman" w:cs="Times New Roman"/>
                <w:sz w:val="20"/>
                <w:szCs w:val="20"/>
              </w:rPr>
            </w:pPr>
            <w:r>
              <w:rPr>
                <w:rFonts w:ascii="Times New Roman" w:hAnsi="Times New Roman" w:cs="Times New Roman"/>
                <w:sz w:val="20"/>
              </w:rPr>
              <w:t>C0110</w:t>
            </w:r>
          </w:p>
        </w:tc>
        <w:tc>
          <w:tcPr>
            <w:tcW w:w="1933" w:type="dxa"/>
            <w:vMerge w:val="restart"/>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5826" w:type="dxa"/>
            <w:vMerge w:val="restart"/>
            <w:hideMark/>
          </w:tcPr>
          <w:p w:rsidR="00DE548D" w:rsidRPr="0061769B"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 xml:space="preserve">ndertaking assets are held in custody. For identifying international custodians, such as </w:t>
            </w:r>
            <w:proofErr w:type="spellStart"/>
            <w:r w:rsidRPr="0061769B">
              <w:rPr>
                <w:rFonts w:ascii="Times New Roman" w:hAnsi="Times New Roman" w:cs="Times New Roman"/>
                <w:sz w:val="20"/>
                <w:szCs w:val="20"/>
              </w:rPr>
              <w:t>Euroclear</w:t>
            </w:r>
            <w:proofErr w:type="spellEnd"/>
            <w:r w:rsidRPr="0061769B">
              <w:rPr>
                <w:rFonts w:ascii="Times New Roman" w:hAnsi="Times New Roman" w:cs="Times New Roman"/>
                <w:sz w:val="20"/>
                <w:szCs w:val="20"/>
              </w:rPr>
              <w:t>, the country of custody will be the one corresponding to the legal establishment where the custody service was contractually defined.</w:t>
            </w:r>
          </w:p>
          <w:p w:rsidR="00DE548D" w:rsidRDefault="00DE548D" w:rsidP="0061769B">
            <w:pPr>
              <w:rPr>
                <w:rFonts w:ascii="Times New Roman" w:hAnsi="Times New Roman" w:cs="Times New Roman"/>
                <w:sz w:val="20"/>
                <w:szCs w:val="20"/>
              </w:rPr>
            </w:pPr>
          </w:p>
          <w:p w:rsidR="0032704D" w:rsidRDefault="0032704D" w:rsidP="0061769B">
            <w:pPr>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p>
          <w:p w:rsidR="0032704D" w:rsidRPr="0061769B" w:rsidRDefault="0032704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16311F">
              <w:rPr>
                <w:rFonts w:ascii="Times New Roman" w:hAnsi="Times New Roman" w:cs="Times New Roman"/>
                <w:sz w:val="20"/>
                <w:szCs w:val="20"/>
              </w:rPr>
              <w:t xml:space="preserve">CIC 71, CIC 75 </w:t>
            </w:r>
            <w:r w:rsidRPr="0061769B">
              <w:rPr>
                <w:rFonts w:ascii="Times New Roman" w:hAnsi="Times New Roman" w:cs="Times New Roman"/>
                <w:sz w:val="20"/>
                <w:szCs w:val="20"/>
              </w:rPr>
              <w:t>and for CIC 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rsidR="00DE548D" w:rsidRPr="006C2F0D" w:rsidRDefault="00DE548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 the issuer country is assessed by the address of the property.</w:t>
            </w:r>
          </w:p>
          <w:p w:rsidR="00DE548D" w:rsidRPr="0061769B" w:rsidRDefault="00DE548D" w:rsidP="0061769B">
            <w:pPr>
              <w:rPr>
                <w:rFonts w:ascii="Times New Roman" w:hAnsi="Times New Roman" w:cs="Times New Roman"/>
                <w:sz w:val="20"/>
                <w:szCs w:val="20"/>
              </w:rPr>
            </w:pPr>
          </w:p>
        </w:tc>
      </w:tr>
      <w:tr w:rsidR="00DE548D" w:rsidRPr="006C2F0D" w:rsidTr="0061769B">
        <w:trPr>
          <w:trHeight w:val="464"/>
        </w:trPr>
        <w:tc>
          <w:tcPr>
            <w:tcW w:w="1483" w:type="dxa"/>
            <w:vMerge/>
            <w:hideMark/>
          </w:tcPr>
          <w:p w:rsidR="00DE548D" w:rsidRPr="0061769B" w:rsidRDefault="00DE548D" w:rsidP="0061769B">
            <w:pPr>
              <w:spacing w:after="200" w:line="276" w:lineRule="auto"/>
              <w:rPr>
                <w:rFonts w:ascii="Times New Roman" w:hAnsi="Times New Roman" w:cs="Times New Roman"/>
                <w:sz w:val="20"/>
                <w:szCs w:val="20"/>
              </w:rPr>
            </w:pPr>
          </w:p>
        </w:tc>
        <w:tc>
          <w:tcPr>
            <w:tcW w:w="1933" w:type="dxa"/>
            <w:vMerge/>
            <w:hideMark/>
          </w:tcPr>
          <w:p w:rsidR="00DE548D" w:rsidRPr="0061769B" w:rsidRDefault="00DE548D" w:rsidP="0061769B">
            <w:pPr>
              <w:spacing w:after="200" w:line="276" w:lineRule="auto"/>
              <w:rPr>
                <w:rFonts w:ascii="Times New Roman" w:hAnsi="Times New Roman" w:cs="Times New Roman"/>
                <w:sz w:val="20"/>
                <w:szCs w:val="20"/>
              </w:rPr>
            </w:pPr>
          </w:p>
        </w:tc>
        <w:tc>
          <w:tcPr>
            <w:tcW w:w="5826" w:type="dxa"/>
            <w:vMerge/>
            <w:hideMark/>
          </w:tcPr>
          <w:p w:rsidR="00DE548D" w:rsidRPr="0061769B" w:rsidRDefault="00DE548D" w:rsidP="0061769B">
            <w:pPr>
              <w:spacing w:after="200" w:line="276" w:lineRule="auto"/>
              <w:rPr>
                <w:rFonts w:ascii="Times New Roman" w:hAnsi="Times New Roman" w:cs="Times New Roman"/>
                <w:sz w:val="20"/>
                <w:szCs w:val="20"/>
              </w:rPr>
            </w:pPr>
          </w:p>
        </w:tc>
      </w:tr>
      <w:tr w:rsidR="00DE548D" w:rsidRPr="006C2F0D" w:rsidTr="0061769B">
        <w:trPr>
          <w:trHeight w:val="300"/>
        </w:trPr>
        <w:tc>
          <w:tcPr>
            <w:tcW w:w="1483" w:type="dxa"/>
          </w:tcPr>
          <w:p w:rsidR="00DE548D" w:rsidRPr="0061769B" w:rsidRDefault="001F4EE2" w:rsidP="00A671EA">
            <w:pPr>
              <w:pStyle w:val="NoSpacing"/>
              <w:rPr>
                <w:rFonts w:ascii="Times New Roman" w:hAnsi="Times New Roman" w:cs="Times New Roman"/>
                <w:sz w:val="20"/>
                <w:szCs w:val="20"/>
              </w:rPr>
            </w:pPr>
            <w:r>
              <w:rPr>
                <w:rFonts w:ascii="Times New Roman" w:hAnsi="Times New Roman" w:cs="Times New Roman"/>
                <w:sz w:val="20"/>
              </w:rPr>
              <w:t>C0120</w:t>
            </w:r>
          </w:p>
        </w:tc>
        <w:tc>
          <w:tcPr>
            <w:tcW w:w="1933"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Custodian</w:t>
            </w:r>
          </w:p>
        </w:tc>
        <w:tc>
          <w:tcPr>
            <w:tcW w:w="5826" w:type="dxa"/>
          </w:tcPr>
          <w:p w:rsidR="00DE548D"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financial institution that is the custodian.</w:t>
            </w:r>
          </w:p>
          <w:p w:rsidR="0032704D" w:rsidRPr="0061769B" w:rsidRDefault="0032704D"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custodian,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custodians.</w:t>
            </w:r>
          </w:p>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When available, this item corresponds to the entity name in the LEI database. When this is not available </w:t>
            </w:r>
            <w:r w:rsidR="003A120F">
              <w:rPr>
                <w:rFonts w:ascii="Times New Roman" w:hAnsi="Times New Roman" w:cs="Times New Roman"/>
                <w:sz w:val="20"/>
                <w:szCs w:val="20"/>
              </w:rPr>
              <w:t xml:space="preserve">it </w:t>
            </w:r>
            <w:r w:rsidRPr="006C2F0D">
              <w:rPr>
                <w:rFonts w:ascii="Times New Roman" w:hAnsi="Times New Roman" w:cs="Times New Roman"/>
                <w:sz w:val="20"/>
                <w:szCs w:val="20"/>
              </w:rPr>
              <w:t>corresponds to the legal name.</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16311F">
              <w:rPr>
                <w:rFonts w:ascii="Times New Roman" w:hAnsi="Times New Roman" w:cs="Times New Roman"/>
                <w:sz w:val="20"/>
                <w:szCs w:val="20"/>
              </w:rPr>
              <w:t xml:space="preserve">CIC 71, CIC 75 </w:t>
            </w:r>
            <w:r w:rsidRPr="0061769B">
              <w:rPr>
                <w:rFonts w:ascii="Times New Roman" w:hAnsi="Times New Roman" w:cs="Times New Roman"/>
                <w:sz w:val="20"/>
                <w:szCs w:val="20"/>
              </w:rPr>
              <w:t>and for CIC category 9 – Property.</w:t>
            </w:r>
          </w:p>
        </w:tc>
      </w:tr>
      <w:tr w:rsidR="00DE548D" w:rsidRPr="006C2F0D" w:rsidTr="0061769B">
        <w:trPr>
          <w:trHeight w:val="915"/>
        </w:trPr>
        <w:tc>
          <w:tcPr>
            <w:tcW w:w="1483" w:type="dxa"/>
            <w:hideMark/>
          </w:tcPr>
          <w:p w:rsidR="00DE548D" w:rsidRPr="0061769B" w:rsidRDefault="001F4EE2" w:rsidP="00A671EA">
            <w:pPr>
              <w:pStyle w:val="NoSpacing"/>
              <w:rPr>
                <w:rFonts w:ascii="Times New Roman" w:hAnsi="Times New Roman" w:cs="Times New Roman"/>
                <w:sz w:val="20"/>
                <w:szCs w:val="20"/>
              </w:rPr>
            </w:pPr>
            <w:r>
              <w:rPr>
                <w:rFonts w:ascii="Times New Roman" w:hAnsi="Times New Roman" w:cs="Times New Roman"/>
                <w:sz w:val="20"/>
                <w:szCs w:val="20"/>
              </w:rPr>
              <w:t>C0130</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5826" w:type="dxa"/>
            <w:hideMark/>
          </w:tcPr>
          <w:p w:rsidR="00DE548D" w:rsidRPr="00FE3920"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w:t>
            </w:r>
            <w:r w:rsidRPr="00FE3920">
              <w:rPr>
                <w:rFonts w:ascii="Times New Roman" w:hAnsi="Times New Roman" w:cs="Times New Roman"/>
                <w:sz w:val="20"/>
                <w:szCs w:val="20"/>
              </w:rPr>
              <w:t xml:space="preserve">assets, for </w:t>
            </w:r>
            <w:r w:rsidR="001A743E" w:rsidRPr="00FE3920">
              <w:rPr>
                <w:rFonts w:ascii="Times New Roman" w:hAnsi="Times New Roman" w:cs="Times New Roman"/>
                <w:sz w:val="20"/>
                <w:szCs w:val="20"/>
              </w:rPr>
              <w:t>relevant</w:t>
            </w:r>
            <w:r w:rsidR="0032704D" w:rsidRPr="00FE3920">
              <w:rPr>
                <w:rFonts w:ascii="Times New Roman" w:hAnsi="Times New Roman" w:cs="Times New Roman"/>
                <w:sz w:val="20"/>
                <w:szCs w:val="20"/>
              </w:rPr>
              <w:t xml:space="preserve"> </w:t>
            </w:r>
            <w:r w:rsidRPr="00FE3920">
              <w:rPr>
                <w:rFonts w:ascii="Times New Roman" w:hAnsi="Times New Roman" w:cs="Times New Roman"/>
                <w:sz w:val="20"/>
                <w:szCs w:val="20"/>
              </w:rPr>
              <w:t>assets.</w:t>
            </w:r>
          </w:p>
          <w:p w:rsidR="00DE548D" w:rsidRPr="0061769B" w:rsidRDefault="0032704D" w:rsidP="0061769B">
            <w:pPr>
              <w:rPr>
                <w:rFonts w:ascii="Times New Roman" w:hAnsi="Times New Roman" w:cs="Times New Roman"/>
                <w:sz w:val="20"/>
                <w:szCs w:val="20"/>
              </w:rPr>
            </w:pPr>
            <w:r w:rsidRPr="00FE3920">
              <w:rPr>
                <w:rFonts w:ascii="Times New Roman" w:hAnsi="Times New Roman" w:cs="Times New Roman"/>
                <w:sz w:val="20"/>
                <w:szCs w:val="20"/>
              </w:rPr>
              <w:t>This item shall</w:t>
            </w:r>
            <w:r>
              <w:rPr>
                <w:rFonts w:ascii="Times New Roman" w:hAnsi="Times New Roman" w:cs="Times New Roman"/>
                <w:sz w:val="20"/>
                <w:szCs w:val="20"/>
              </w:rPr>
              <w:t xml:space="preserve"> not be reported if item Par amount</w:t>
            </w:r>
            <w:r w:rsidR="00A7253F">
              <w:rPr>
                <w:rFonts w:ascii="Times New Roman" w:hAnsi="Times New Roman" w:cs="Times New Roman"/>
                <w:sz w:val="20"/>
                <w:szCs w:val="20"/>
              </w:rPr>
              <w:t xml:space="preserve"> (C0140)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DE548D" w:rsidRPr="006C2F0D" w:rsidTr="0061769B">
        <w:trPr>
          <w:trHeight w:val="1116"/>
        </w:trPr>
        <w:tc>
          <w:tcPr>
            <w:tcW w:w="1483" w:type="dxa"/>
          </w:tcPr>
          <w:p w:rsidR="00DE548D" w:rsidRPr="0061769B" w:rsidRDefault="001F4EE2" w:rsidP="00A671EA">
            <w:pPr>
              <w:pStyle w:val="NoSpacing"/>
              <w:rPr>
                <w:rFonts w:ascii="Times New Roman" w:hAnsi="Times New Roman" w:cs="Times New Roman"/>
                <w:sz w:val="20"/>
                <w:szCs w:val="20"/>
              </w:rPr>
            </w:pPr>
            <w:r>
              <w:rPr>
                <w:rFonts w:ascii="Times New Roman" w:hAnsi="Times New Roman" w:cs="Times New Roman"/>
                <w:sz w:val="20"/>
                <w:szCs w:val="20"/>
              </w:rPr>
              <w:t>C0140</w:t>
            </w:r>
          </w:p>
        </w:tc>
        <w:tc>
          <w:tcPr>
            <w:tcW w:w="1933"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5826" w:type="dxa"/>
          </w:tcPr>
          <w:p w:rsidR="00DE548D" w:rsidRPr="0061769B" w:rsidRDefault="0032704D"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Principle amount outstanding </w:t>
            </w:r>
            <w:r w:rsidR="00DE548D" w:rsidRPr="0061769B">
              <w:rPr>
                <w:rFonts w:ascii="Times New Roman" w:hAnsi="Times New Roman" w:cs="Times New Roman"/>
                <w:sz w:val="20"/>
                <w:szCs w:val="20"/>
              </w:rPr>
              <w:t xml:space="preserve">measured at par amount, for </w:t>
            </w:r>
            <w:r>
              <w:rPr>
                <w:rFonts w:ascii="Times New Roman" w:hAnsi="Times New Roman" w:cs="Times New Roman"/>
                <w:sz w:val="20"/>
                <w:szCs w:val="20"/>
              </w:rPr>
              <w:t xml:space="preserve">all </w:t>
            </w:r>
            <w:r w:rsidR="00DE548D" w:rsidRPr="0061769B">
              <w:rPr>
                <w:rFonts w:ascii="Times New Roman" w:hAnsi="Times New Roman" w:cs="Times New Roman"/>
                <w:sz w:val="20"/>
                <w:szCs w:val="20"/>
              </w:rPr>
              <w:t xml:space="preserve">assets </w:t>
            </w:r>
            <w:r>
              <w:rPr>
                <w:rFonts w:ascii="Times New Roman" w:hAnsi="Times New Roman" w:cs="Times New Roman"/>
                <w:sz w:val="20"/>
                <w:szCs w:val="20"/>
              </w:rPr>
              <w:t>where this item is relevant</w:t>
            </w:r>
            <w:r w:rsidR="00DE548D" w:rsidRPr="0061769B">
              <w:rPr>
                <w:rFonts w:ascii="Times New Roman" w:hAnsi="Times New Roman" w:cs="Times New Roman"/>
                <w:sz w:val="20"/>
                <w:szCs w:val="20"/>
              </w:rPr>
              <w:t>, and at nominal amount for CIC = 72, 73</w:t>
            </w:r>
            <w:r w:rsidR="009A1E96">
              <w:rPr>
                <w:rFonts w:ascii="Times New Roman" w:hAnsi="Times New Roman" w:cs="Times New Roman"/>
                <w:sz w:val="20"/>
                <w:szCs w:val="20"/>
              </w:rPr>
              <w:t>,</w:t>
            </w:r>
            <w:r w:rsidR="00DE548D" w:rsidRPr="0061769B">
              <w:rPr>
                <w:rFonts w:ascii="Times New Roman" w:hAnsi="Times New Roman" w:cs="Times New Roman"/>
                <w:sz w:val="20"/>
                <w:szCs w:val="20"/>
              </w:rPr>
              <w:t xml:space="preserve"> 74</w:t>
            </w:r>
            <w:r>
              <w:rPr>
                <w:rFonts w:ascii="Times New Roman" w:hAnsi="Times New Roman" w:cs="Times New Roman"/>
                <w:sz w:val="20"/>
                <w:szCs w:val="20"/>
              </w:rPr>
              <w:t>, 75</w:t>
            </w:r>
            <w:r w:rsidR="009A1E96">
              <w:rPr>
                <w:rFonts w:ascii="Times New Roman" w:hAnsi="Times New Roman" w:cs="Times New Roman"/>
                <w:sz w:val="20"/>
                <w:szCs w:val="20"/>
              </w:rPr>
              <w:t xml:space="preserve"> and 79 if applicable</w:t>
            </w:r>
            <w:r w:rsidR="00DE548D" w:rsidRPr="0061769B">
              <w:rPr>
                <w:rFonts w:ascii="Times New Roman" w:hAnsi="Times New Roman" w:cs="Times New Roman"/>
                <w:sz w:val="20"/>
                <w:szCs w:val="20"/>
              </w:rPr>
              <w:t>.</w:t>
            </w:r>
          </w:p>
          <w:p w:rsidR="00DE548D" w:rsidRPr="0061769B" w:rsidRDefault="0032704D" w:rsidP="009A1E96">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sidR="00A7253F">
              <w:rPr>
                <w:rFonts w:ascii="Times New Roman" w:hAnsi="Times New Roman" w:cs="Times New Roman"/>
                <w:sz w:val="20"/>
                <w:szCs w:val="20"/>
              </w:rPr>
              <w:t xml:space="preserve">(C0130) </w:t>
            </w:r>
            <w:r>
              <w:rPr>
                <w:rFonts w:ascii="Times New Roman" w:hAnsi="Times New Roman" w:cs="Times New Roman"/>
                <w:sz w:val="20"/>
                <w:szCs w:val="20"/>
              </w:rPr>
              <w:t>is reported.</w:t>
            </w:r>
          </w:p>
        </w:tc>
      </w:tr>
      <w:tr w:rsidR="00DE548D" w:rsidRPr="006C2F0D" w:rsidTr="00566107">
        <w:trPr>
          <w:trHeight w:val="2258"/>
        </w:trPr>
        <w:tc>
          <w:tcPr>
            <w:tcW w:w="1483" w:type="dxa"/>
            <w:hideMark/>
          </w:tcPr>
          <w:p w:rsidR="00DE548D" w:rsidRPr="0061769B" w:rsidRDefault="001F4EE2" w:rsidP="00A671EA">
            <w:pPr>
              <w:pStyle w:val="NoSpacing"/>
              <w:rPr>
                <w:rFonts w:ascii="Times New Roman" w:hAnsi="Times New Roman" w:cs="Times New Roman"/>
                <w:sz w:val="20"/>
                <w:szCs w:val="20"/>
              </w:rPr>
            </w:pPr>
            <w:r>
              <w:rPr>
                <w:rFonts w:ascii="Times New Roman" w:hAnsi="Times New Roman" w:cs="Times New Roman"/>
                <w:sz w:val="20"/>
                <w:szCs w:val="20"/>
              </w:rPr>
              <w:t>C0150</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826" w:type="dxa"/>
            <w:hideMark/>
          </w:tcPr>
          <w:p w:rsidR="00DE548D" w:rsidRPr="002670DE" w:rsidRDefault="00DE548D" w:rsidP="0061769B">
            <w:pPr>
              <w:pStyle w:val="NoSpacing"/>
              <w:rPr>
                <w:rFonts w:ascii="Times New Roman" w:hAnsi="Times New Roman" w:cs="Times New Roman"/>
                <w:sz w:val="20"/>
                <w:szCs w:val="20"/>
              </w:rPr>
            </w:pPr>
            <w:r w:rsidRPr="00566107">
              <w:rPr>
                <w:rFonts w:ascii="Times New Roman" w:hAnsi="Times New Roman" w:cs="Times New Roman"/>
                <w:sz w:val="20"/>
                <w:szCs w:val="20"/>
              </w:rPr>
              <w:t>Identify the valuation method used when valuing assets. One of the options in the following closed list shall be used:</w:t>
            </w:r>
          </w:p>
          <w:p w:rsidR="00DE548D" w:rsidRPr="002670DE" w:rsidRDefault="00DE548D"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methods</w:t>
            </w:r>
          </w:p>
          <w:p w:rsidR="00DE548D" w:rsidRPr="002670DE" w:rsidRDefault="00DE548D"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rsidR="00DE548D" w:rsidRDefault="00DE548D"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p w:rsidR="007560A6" w:rsidRPr="00566107" w:rsidRDefault="007560A6">
            <w:pPr>
              <w:pStyle w:val="NoSpacing"/>
              <w:rPr>
                <w:rFonts w:ascii="Times New Roman" w:hAnsi="Times New Roman" w:cs="Times New Roman"/>
                <w:sz w:val="20"/>
                <w:szCs w:val="20"/>
              </w:rPr>
            </w:pP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w:t>
            </w:r>
            <w:r w:rsidR="00A7253F">
              <w:rPr>
                <w:rFonts w:ascii="Times New Roman" w:hAnsi="Times New Roman" w:cs="Times New Roman"/>
                <w:sz w:val="20"/>
                <w:szCs w:val="20"/>
              </w:rPr>
              <w:t xml:space="preserve">Delegated </w:t>
            </w:r>
            <w:r>
              <w:rPr>
                <w:rFonts w:ascii="Times New Roman" w:hAnsi="Times New Roman" w:cs="Times New Roman"/>
                <w:sz w:val="20"/>
                <w:szCs w:val="20"/>
              </w:rPr>
              <w:t>Regulation 2015/35</w:t>
            </w:r>
          </w:p>
        </w:tc>
      </w:tr>
      <w:tr w:rsidR="00DE548D" w:rsidRPr="006C2F0D" w:rsidTr="00A671EA">
        <w:trPr>
          <w:trHeight w:val="771"/>
        </w:trPr>
        <w:tc>
          <w:tcPr>
            <w:tcW w:w="1483" w:type="dxa"/>
            <w:hideMark/>
          </w:tcPr>
          <w:p w:rsidR="00DE548D" w:rsidRPr="0061769B" w:rsidRDefault="001F4EE2" w:rsidP="00A671EA">
            <w:pPr>
              <w:pStyle w:val="NoSpacing"/>
              <w:rPr>
                <w:rFonts w:ascii="Times New Roman" w:hAnsi="Times New Roman" w:cs="Times New Roman"/>
                <w:sz w:val="20"/>
                <w:szCs w:val="20"/>
              </w:rPr>
            </w:pPr>
            <w:r>
              <w:rPr>
                <w:rFonts w:ascii="Times New Roman" w:hAnsi="Times New Roman" w:cs="Times New Roman"/>
                <w:sz w:val="20"/>
                <w:szCs w:val="20"/>
              </w:rPr>
              <w:t>C01</w:t>
            </w:r>
            <w:r w:rsidR="00DE548D">
              <w:rPr>
                <w:rFonts w:ascii="Times New Roman" w:hAnsi="Times New Roman" w:cs="Times New Roman"/>
                <w:sz w:val="20"/>
                <w:szCs w:val="20"/>
              </w:rPr>
              <w:t>60</w:t>
            </w:r>
          </w:p>
        </w:tc>
        <w:tc>
          <w:tcPr>
            <w:tcW w:w="1933" w:type="dxa"/>
            <w:hideMark/>
          </w:tcPr>
          <w:p w:rsidR="00DE548D" w:rsidRPr="0061769B" w:rsidRDefault="00DE548D" w:rsidP="00281CD7">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Acquisition </w:t>
            </w:r>
            <w:r w:rsidR="00281CD7">
              <w:rPr>
                <w:rFonts w:ascii="Times New Roman" w:hAnsi="Times New Roman" w:cs="Times New Roman"/>
                <w:sz w:val="20"/>
                <w:szCs w:val="20"/>
              </w:rPr>
              <w:t>value</w:t>
            </w:r>
          </w:p>
        </w:tc>
        <w:tc>
          <w:tcPr>
            <w:tcW w:w="5826" w:type="dxa"/>
            <w:hideMark/>
          </w:tcPr>
          <w:p w:rsidR="00DE548D" w:rsidRPr="0061769B" w:rsidRDefault="00C20542" w:rsidP="00C20542">
            <w:pPr>
              <w:spacing w:after="200" w:line="276" w:lineRule="auto"/>
              <w:rPr>
                <w:rFonts w:ascii="Times New Roman" w:hAnsi="Times New Roman" w:cs="Times New Roman"/>
                <w:sz w:val="20"/>
                <w:szCs w:val="20"/>
              </w:rPr>
            </w:pPr>
            <w:r>
              <w:rPr>
                <w:rFonts w:ascii="Times New Roman" w:hAnsi="Times New Roman" w:cs="Times New Roman"/>
                <w:sz w:val="20"/>
                <w:szCs w:val="20"/>
              </w:rPr>
              <w:t>Total a</w:t>
            </w:r>
            <w:r w:rsidR="00DE548D" w:rsidRPr="0061769B">
              <w:rPr>
                <w:rFonts w:ascii="Times New Roman" w:hAnsi="Times New Roman" w:cs="Times New Roman"/>
                <w:sz w:val="20"/>
                <w:szCs w:val="20"/>
              </w:rPr>
              <w:t xml:space="preserve">cquisition </w:t>
            </w:r>
            <w:r w:rsidR="00281CD7">
              <w:rPr>
                <w:rFonts w:ascii="Times New Roman" w:hAnsi="Times New Roman" w:cs="Times New Roman"/>
                <w:sz w:val="20"/>
                <w:szCs w:val="20"/>
              </w:rPr>
              <w:t>value</w:t>
            </w:r>
            <w:r w:rsidR="00281CD7" w:rsidRPr="0061769B">
              <w:rPr>
                <w:rFonts w:ascii="Times New Roman" w:hAnsi="Times New Roman" w:cs="Times New Roman"/>
                <w:sz w:val="20"/>
                <w:szCs w:val="20"/>
              </w:rPr>
              <w:t xml:space="preserve"> </w:t>
            </w:r>
            <w:r w:rsidR="001A743E">
              <w:rPr>
                <w:rFonts w:ascii="Times New Roman" w:hAnsi="Times New Roman" w:cs="Times New Roman"/>
                <w:sz w:val="20"/>
                <w:szCs w:val="20"/>
              </w:rPr>
              <w:t>for</w:t>
            </w:r>
            <w:r w:rsidR="00DE548D" w:rsidRPr="0061769B">
              <w:rPr>
                <w:rFonts w:ascii="Times New Roman" w:hAnsi="Times New Roman" w:cs="Times New Roman"/>
                <w:sz w:val="20"/>
                <w:szCs w:val="20"/>
              </w:rPr>
              <w:t xml:space="preserve"> asset</w:t>
            </w:r>
            <w:r w:rsidR="00C80135">
              <w:rPr>
                <w:rFonts w:ascii="Times New Roman" w:hAnsi="Times New Roman" w:cs="Times New Roman"/>
                <w:sz w:val="20"/>
                <w:szCs w:val="20"/>
              </w:rPr>
              <w:t>s</w:t>
            </w:r>
            <w:r w:rsidR="001A743E">
              <w:rPr>
                <w:rFonts w:ascii="Times New Roman" w:hAnsi="Times New Roman" w:cs="Times New Roman"/>
                <w:sz w:val="20"/>
                <w:szCs w:val="20"/>
              </w:rPr>
              <w:t xml:space="preserve"> held</w:t>
            </w:r>
            <w:r w:rsidR="00DE548D" w:rsidRPr="0061769B">
              <w:rPr>
                <w:rFonts w:ascii="Times New Roman" w:hAnsi="Times New Roman" w:cs="Times New Roman"/>
                <w:sz w:val="20"/>
                <w:szCs w:val="20"/>
              </w:rPr>
              <w:t>, clean value without accrued interest.</w:t>
            </w:r>
            <w:r w:rsidR="00F765B5">
              <w:rPr>
                <w:rFonts w:ascii="Times New Roman" w:hAnsi="Times New Roman" w:cs="Times New Roman"/>
                <w:sz w:val="20"/>
                <w:szCs w:val="20"/>
              </w:rPr>
              <w:t xml:space="preserve"> </w:t>
            </w:r>
            <w:r w:rsidR="00DE548D" w:rsidRPr="0061769B">
              <w:rPr>
                <w:rFonts w:ascii="Times New Roman" w:hAnsi="Times New Roman" w:cs="Times New Roman"/>
                <w:sz w:val="20"/>
                <w:szCs w:val="20"/>
              </w:rPr>
              <w:t>Not applicable to CIC categories 7 and 8</w:t>
            </w:r>
            <w:r w:rsidR="00DE548D" w:rsidRPr="006C2F0D">
              <w:rPr>
                <w:rFonts w:ascii="Times New Roman" w:hAnsi="Times New Roman" w:cs="Times New Roman"/>
                <w:sz w:val="20"/>
                <w:szCs w:val="20"/>
              </w:rPr>
              <w:t>.</w:t>
            </w:r>
          </w:p>
        </w:tc>
      </w:tr>
      <w:tr w:rsidR="00DE548D" w:rsidRPr="006C2F0D" w:rsidTr="00566107">
        <w:trPr>
          <w:trHeight w:val="1353"/>
        </w:trPr>
        <w:tc>
          <w:tcPr>
            <w:tcW w:w="1483" w:type="dxa"/>
            <w:hideMark/>
          </w:tcPr>
          <w:p w:rsidR="00DE548D" w:rsidRPr="0061769B" w:rsidRDefault="00DE548D" w:rsidP="00A671EA">
            <w:pPr>
              <w:pStyle w:val="NoSpacing"/>
              <w:rPr>
                <w:rFonts w:ascii="Times New Roman" w:hAnsi="Times New Roman" w:cs="Times New Roman"/>
                <w:sz w:val="20"/>
                <w:szCs w:val="20"/>
              </w:rPr>
            </w:pPr>
            <w:r>
              <w:rPr>
                <w:rFonts w:ascii="Times New Roman" w:hAnsi="Times New Roman" w:cs="Times New Roman"/>
                <w:sz w:val="20"/>
                <w:szCs w:val="20"/>
              </w:rPr>
              <w:t>C0</w:t>
            </w:r>
            <w:r w:rsidR="001F4EE2">
              <w:rPr>
                <w:rFonts w:ascii="Times New Roman" w:hAnsi="Times New Roman" w:cs="Times New Roman"/>
                <w:sz w:val="20"/>
                <w:szCs w:val="20"/>
              </w:rPr>
              <w:t>1</w:t>
            </w:r>
            <w:r>
              <w:rPr>
                <w:rFonts w:ascii="Times New Roman" w:hAnsi="Times New Roman" w:cs="Times New Roman"/>
                <w:sz w:val="20"/>
                <w:szCs w:val="20"/>
              </w:rPr>
              <w:t>70</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Value calculated as defined by article 75 of the Directive 2009/138/EC.</w:t>
            </w:r>
          </w:p>
          <w:p w:rsidR="00DE548D" w:rsidRPr="0061769B" w:rsidRDefault="00DE548D" w:rsidP="00A671EA">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FE3920" w:rsidRDefault="0032704D" w:rsidP="0061769B">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C</w:t>
            </w:r>
            <w:r w:rsidR="00DE548D" w:rsidRPr="0061769B">
              <w:rPr>
                <w:rFonts w:ascii="Times New Roman" w:hAnsi="Times New Roman" w:cs="Times New Roman"/>
                <w:sz w:val="20"/>
                <w:szCs w:val="20"/>
              </w:rPr>
              <w:t>orresponds to the multiplication of “</w:t>
            </w:r>
            <w:proofErr w:type="spellStart"/>
            <w:r w:rsidR="00DE548D" w:rsidRPr="0061769B">
              <w:rPr>
                <w:rFonts w:ascii="Times New Roman" w:hAnsi="Times New Roman" w:cs="Times New Roman"/>
                <w:sz w:val="20"/>
                <w:szCs w:val="20"/>
              </w:rPr>
              <w:t>Par amount</w:t>
            </w:r>
            <w:proofErr w:type="spellEnd"/>
            <w:r w:rsidR="00DE548D" w:rsidRPr="0061769B">
              <w:rPr>
                <w:rFonts w:ascii="Times New Roman" w:hAnsi="Times New Roman" w:cs="Times New Roman"/>
                <w:sz w:val="20"/>
                <w:szCs w:val="20"/>
              </w:rPr>
              <w:t xml:space="preserve">” by “Unit percentage of </w:t>
            </w:r>
            <w:proofErr w:type="spellStart"/>
            <w:r w:rsidR="00DE548D" w:rsidRPr="0061769B">
              <w:rPr>
                <w:rFonts w:ascii="Times New Roman" w:hAnsi="Times New Roman" w:cs="Times New Roman"/>
                <w:sz w:val="20"/>
                <w:szCs w:val="20"/>
              </w:rPr>
              <w:t>par amount</w:t>
            </w:r>
            <w:proofErr w:type="spellEnd"/>
            <w:r w:rsidR="00DE548D" w:rsidRPr="0061769B">
              <w:rPr>
                <w:rFonts w:ascii="Times New Roman" w:hAnsi="Times New Roman" w:cs="Times New Roman"/>
                <w:sz w:val="20"/>
                <w:szCs w:val="20"/>
              </w:rPr>
              <w:t xml:space="preserve"> Solvency II price” plus “Accrued interest”</w:t>
            </w:r>
            <w:r>
              <w:rPr>
                <w:rFonts w:ascii="Times New Roman" w:hAnsi="Times New Roman" w:cs="Times New Roman"/>
                <w:sz w:val="20"/>
                <w:szCs w:val="20"/>
              </w:rPr>
              <w:t xml:space="preserve">, for assets where </w:t>
            </w:r>
            <w:r w:rsidRPr="00FE3920">
              <w:rPr>
                <w:rFonts w:ascii="Times New Roman" w:hAnsi="Times New Roman" w:cs="Times New Roman"/>
                <w:sz w:val="20"/>
                <w:szCs w:val="20"/>
              </w:rPr>
              <w:t xml:space="preserve">the </w:t>
            </w:r>
            <w:r w:rsidR="002F2570">
              <w:rPr>
                <w:rFonts w:ascii="Times New Roman" w:hAnsi="Times New Roman" w:cs="Times New Roman"/>
                <w:sz w:val="20"/>
                <w:szCs w:val="20"/>
              </w:rPr>
              <w:t>first two</w:t>
            </w:r>
            <w:r w:rsidRPr="00FE3920">
              <w:rPr>
                <w:rFonts w:ascii="Times New Roman" w:hAnsi="Times New Roman" w:cs="Times New Roman"/>
                <w:sz w:val="20"/>
                <w:szCs w:val="20"/>
              </w:rPr>
              <w:t xml:space="preserve"> items are relevant</w:t>
            </w:r>
            <w:r w:rsidR="00DE548D" w:rsidRPr="00FE3920">
              <w:rPr>
                <w:rFonts w:ascii="Times New Roman" w:hAnsi="Times New Roman" w:cs="Times New Roman"/>
                <w:sz w:val="20"/>
                <w:szCs w:val="20"/>
              </w:rPr>
              <w:t>;</w:t>
            </w:r>
          </w:p>
          <w:p w:rsidR="00DE548D" w:rsidRPr="0061769B" w:rsidRDefault="0032704D" w:rsidP="0061769B">
            <w:pPr>
              <w:pStyle w:val="ListParagraph"/>
              <w:numPr>
                <w:ilvl w:val="0"/>
                <w:numId w:val="3"/>
              </w:numPr>
              <w:rPr>
                <w:rFonts w:ascii="Times New Roman" w:hAnsi="Times New Roman" w:cs="Times New Roman"/>
                <w:sz w:val="20"/>
                <w:szCs w:val="20"/>
              </w:rPr>
            </w:pPr>
            <w:r w:rsidRPr="00FE3920">
              <w:rPr>
                <w:rFonts w:ascii="Times New Roman" w:hAnsi="Times New Roman" w:cs="Times New Roman"/>
                <w:sz w:val="20"/>
                <w:szCs w:val="20"/>
              </w:rPr>
              <w:t>C</w:t>
            </w:r>
            <w:r w:rsidR="00DE548D" w:rsidRPr="00FE3920">
              <w:rPr>
                <w:rFonts w:ascii="Times New Roman" w:hAnsi="Times New Roman" w:cs="Times New Roman"/>
                <w:sz w:val="20"/>
                <w:szCs w:val="20"/>
              </w:rPr>
              <w:t>orresponds to the multiplication</w:t>
            </w:r>
            <w:r w:rsidR="00DE548D" w:rsidRPr="0061769B">
              <w:rPr>
                <w:rFonts w:ascii="Times New Roman" w:hAnsi="Times New Roman" w:cs="Times New Roman"/>
                <w:sz w:val="20"/>
                <w:szCs w:val="20"/>
              </w:rPr>
              <w:t xml:space="preserve"> of “Quantity” by “Unit Solvency II price”</w:t>
            </w:r>
            <w:r>
              <w:rPr>
                <w:rFonts w:ascii="Times New Roman" w:hAnsi="Times New Roman" w:cs="Times New Roman"/>
                <w:sz w:val="20"/>
                <w:szCs w:val="20"/>
              </w:rPr>
              <w:t>, for assets where these two items are relevant</w:t>
            </w:r>
            <w:r w:rsidR="00DE548D" w:rsidRPr="0061769B">
              <w:rPr>
                <w:rFonts w:ascii="Times New Roman" w:hAnsi="Times New Roman" w:cs="Times New Roman"/>
                <w:sz w:val="20"/>
                <w:szCs w:val="20"/>
              </w:rPr>
              <w:t>;</w:t>
            </w:r>
          </w:p>
          <w:p w:rsidR="00DE548D" w:rsidRPr="00566107" w:rsidRDefault="00DE548D" w:rsidP="000F0F3B">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 xml:space="preserve">For assets classifiable under </w:t>
            </w:r>
            <w:r w:rsidR="000F0F3B">
              <w:rPr>
                <w:rFonts w:ascii="Times New Roman" w:hAnsi="Times New Roman" w:cs="Times New Roman"/>
                <w:sz w:val="20"/>
                <w:szCs w:val="20"/>
              </w:rPr>
              <w:t>asset</w:t>
            </w:r>
            <w:r w:rsidR="000F0F3B" w:rsidRPr="0061769B">
              <w:rPr>
                <w:rFonts w:ascii="Times New Roman" w:hAnsi="Times New Roman" w:cs="Times New Roman"/>
                <w:sz w:val="20"/>
                <w:szCs w:val="20"/>
              </w:rPr>
              <w:t xml:space="preserve"> </w:t>
            </w:r>
            <w:r w:rsidRPr="0061769B">
              <w:rPr>
                <w:rFonts w:ascii="Times New Roman" w:hAnsi="Times New Roman" w:cs="Times New Roman"/>
                <w:sz w:val="20"/>
                <w:szCs w:val="20"/>
              </w:rPr>
              <w:t xml:space="preserve">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tc>
      </w:tr>
      <w:tr w:rsidR="00DE548D" w:rsidRPr="006C2F0D" w:rsidTr="00566107">
        <w:trPr>
          <w:trHeight w:val="702"/>
        </w:trPr>
        <w:tc>
          <w:tcPr>
            <w:tcW w:w="1483" w:type="dxa"/>
            <w:hideMark/>
          </w:tcPr>
          <w:p w:rsidR="00DE548D" w:rsidRPr="0061769B" w:rsidRDefault="00DE548D" w:rsidP="00A671EA">
            <w:pPr>
              <w:pStyle w:val="NoSpacing"/>
              <w:rPr>
                <w:rFonts w:ascii="Times New Roman" w:hAnsi="Times New Roman" w:cs="Times New Roman"/>
                <w:sz w:val="20"/>
                <w:szCs w:val="20"/>
              </w:rPr>
            </w:pPr>
            <w:r>
              <w:rPr>
                <w:rFonts w:ascii="Times New Roman" w:hAnsi="Times New Roman" w:cs="Times New Roman"/>
                <w:sz w:val="20"/>
                <w:szCs w:val="20"/>
              </w:rPr>
              <w:t>C0</w:t>
            </w:r>
            <w:r w:rsidR="001F4EE2">
              <w:rPr>
                <w:rFonts w:ascii="Times New Roman" w:hAnsi="Times New Roman" w:cs="Times New Roman"/>
                <w:sz w:val="20"/>
                <w:szCs w:val="20"/>
              </w:rPr>
              <w:t>18</w:t>
            </w:r>
            <w:r>
              <w:rPr>
                <w:rFonts w:ascii="Times New Roman" w:hAnsi="Times New Roman" w:cs="Times New Roman"/>
                <w:sz w:val="20"/>
                <w:szCs w:val="20"/>
              </w:rPr>
              <w:t>0</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bl>
    <w:p w:rsidR="00DE548D" w:rsidRDefault="00DE548D"/>
    <w:p w:rsidR="00DE548D" w:rsidRPr="00566107" w:rsidRDefault="00DE548D">
      <w:pPr>
        <w:rPr>
          <w:rFonts w:ascii="Times New Roman" w:hAnsi="Times New Roman" w:cs="Times New Roman"/>
          <w:b/>
          <w:sz w:val="20"/>
          <w:szCs w:val="20"/>
        </w:rPr>
      </w:pPr>
      <w:r w:rsidRPr="00566107">
        <w:rPr>
          <w:rFonts w:ascii="Times New Roman" w:hAnsi="Times New Roman" w:cs="Times New Roman"/>
          <w:b/>
          <w:sz w:val="20"/>
          <w:szCs w:val="20"/>
        </w:rPr>
        <w:t>Information</w:t>
      </w:r>
      <w:r w:rsidR="00C2040B">
        <w:rPr>
          <w:rFonts w:ascii="Times New Roman" w:hAnsi="Times New Roman" w:cs="Times New Roman"/>
          <w:b/>
          <w:sz w:val="20"/>
          <w:szCs w:val="20"/>
        </w:rPr>
        <w:t xml:space="preserve"> </w:t>
      </w:r>
      <w:r w:rsidRPr="00566107">
        <w:rPr>
          <w:rFonts w:ascii="Times New Roman" w:hAnsi="Times New Roman" w:cs="Times New Roman"/>
          <w:b/>
          <w:sz w:val="20"/>
          <w:szCs w:val="20"/>
        </w:rPr>
        <w:t>on assets</w:t>
      </w:r>
    </w:p>
    <w:tbl>
      <w:tblPr>
        <w:tblStyle w:val="TableGrid"/>
        <w:tblW w:w="0" w:type="auto"/>
        <w:tblLook w:val="04A0" w:firstRow="1" w:lastRow="0" w:firstColumn="1" w:lastColumn="0" w:noHBand="0" w:noVBand="1"/>
      </w:tblPr>
      <w:tblGrid>
        <w:gridCol w:w="1425"/>
        <w:gridCol w:w="2327"/>
        <w:gridCol w:w="5490"/>
      </w:tblGrid>
      <w:tr w:rsidR="00C2040B" w:rsidRPr="00C2040B" w:rsidTr="009125C3">
        <w:trPr>
          <w:trHeight w:val="327"/>
        </w:trPr>
        <w:tc>
          <w:tcPr>
            <w:tcW w:w="1425" w:type="dxa"/>
          </w:tcPr>
          <w:p w:rsidR="00C2040B" w:rsidRPr="00566107" w:rsidRDefault="00C2040B" w:rsidP="00566107">
            <w:pPr>
              <w:jc w:val="center"/>
              <w:rPr>
                <w:rFonts w:ascii="Times New Roman" w:hAnsi="Times New Roman" w:cs="Times New Roman"/>
                <w:b/>
                <w:sz w:val="20"/>
                <w:szCs w:val="20"/>
              </w:rPr>
            </w:pPr>
          </w:p>
        </w:tc>
        <w:tc>
          <w:tcPr>
            <w:tcW w:w="2327"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ITEM</w:t>
            </w:r>
          </w:p>
        </w:tc>
        <w:tc>
          <w:tcPr>
            <w:tcW w:w="5490"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INSTRUCTION</w:t>
            </w:r>
          </w:p>
        </w:tc>
      </w:tr>
      <w:tr w:rsidR="00543B4E" w:rsidRPr="006C2F0D" w:rsidTr="009125C3">
        <w:trPr>
          <w:trHeight w:val="1575"/>
        </w:trPr>
        <w:tc>
          <w:tcPr>
            <w:tcW w:w="1425" w:type="dxa"/>
            <w:hideMark/>
          </w:tcPr>
          <w:p w:rsidR="00543B4E" w:rsidRPr="0061769B" w:rsidRDefault="00543B4E" w:rsidP="00A671EA">
            <w:pPr>
              <w:spacing w:line="276" w:lineRule="auto"/>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tc>
        <w:tc>
          <w:tcPr>
            <w:tcW w:w="2327" w:type="dxa"/>
            <w:hideMark/>
          </w:tcPr>
          <w:p w:rsidR="00543B4E" w:rsidRPr="0061769B" w:rsidRDefault="00543B4E"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490" w:type="dxa"/>
          </w:tcPr>
          <w:p w:rsidR="008C7CC7" w:rsidRDefault="00543B4E"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sidR="003B33B4">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p w:rsidR="000F0F3B" w:rsidRPr="0061769B" w:rsidRDefault="000F0F3B"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543B4E" w:rsidRPr="006C2F0D" w:rsidTr="009125C3">
        <w:trPr>
          <w:trHeight w:val="1519"/>
        </w:trPr>
        <w:tc>
          <w:tcPr>
            <w:tcW w:w="1425" w:type="dxa"/>
            <w:hideMark/>
          </w:tcPr>
          <w:p w:rsidR="00543B4E" w:rsidRPr="006C2F0D" w:rsidRDefault="00335000" w:rsidP="00A671EA">
            <w:pPr>
              <w:pStyle w:val="NoSpacing"/>
            </w:pPr>
            <w:r>
              <w:rPr>
                <w:rFonts w:ascii="Times New Roman" w:hAnsi="Times New Roman" w:cs="Times New Roman"/>
                <w:sz w:val="20"/>
              </w:rPr>
              <w:t>C005</w:t>
            </w:r>
            <w:r w:rsidR="00543B4E" w:rsidRPr="0061769B">
              <w:rPr>
                <w:rFonts w:ascii="Times New Roman" w:hAnsi="Times New Roman" w:cs="Times New Roman"/>
                <w:sz w:val="20"/>
              </w:rPr>
              <w:t>0</w:t>
            </w:r>
          </w:p>
        </w:tc>
        <w:tc>
          <w:tcPr>
            <w:tcW w:w="2327" w:type="dxa"/>
            <w:hideMark/>
          </w:tcPr>
          <w:p w:rsidR="00543B4E" w:rsidRPr="0061769B" w:rsidRDefault="00543B4E"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490" w:type="dxa"/>
          </w:tcPr>
          <w:p w:rsidR="00543B4E" w:rsidRPr="0061769B" w:rsidRDefault="00543B4E"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t>
            </w:r>
            <w:r w:rsidR="0074645C">
              <w:rPr>
                <w:rFonts w:ascii="Times New Roman" w:hAnsi="Times New Roman" w:cs="Times New Roman"/>
                <w:sz w:val="20"/>
                <w:szCs w:val="20"/>
              </w:rPr>
              <w:t>WKN</w:t>
            </w:r>
            <w:r w:rsidR="0074645C" w:rsidRPr="006C2F0D">
              <w:rPr>
                <w:rFonts w:ascii="Times New Roman" w:hAnsi="Times New Roman" w:cs="Times New Roman"/>
                <w:sz w:val="20"/>
                <w:szCs w:val="20"/>
              </w:rPr>
              <w:t xml:space="preserve"> </w:t>
            </w:r>
            <w:r w:rsidRPr="006C2F0D">
              <w:rPr>
                <w:rFonts w:ascii="Times New Roman" w:hAnsi="Times New Roman" w:cs="Times New Roman"/>
                <w:sz w:val="20"/>
                <w:szCs w:val="20"/>
              </w:rPr>
              <w:t>(</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Kenn-Num</w:t>
            </w:r>
            <w:r w:rsidR="005016E5">
              <w:rPr>
                <w:rFonts w:ascii="Times New Roman" w:hAnsi="Times New Roman" w:cs="Times New Roman"/>
                <w:sz w:val="20"/>
                <w:szCs w:val="20"/>
              </w:rPr>
              <w:t>m</w:t>
            </w:r>
            <w:r w:rsidRPr="006C2F0D">
              <w:rPr>
                <w:rFonts w:ascii="Times New Roman" w:hAnsi="Times New Roman" w:cs="Times New Roman"/>
                <w:sz w:val="20"/>
                <w:szCs w:val="20"/>
              </w:rPr>
              <w:t>er</w:t>
            </w:r>
            <w:proofErr w:type="spellEnd"/>
            <w:r w:rsidRPr="006C2F0D">
              <w:rPr>
                <w:rFonts w:ascii="Times New Roman" w:hAnsi="Times New Roman" w:cs="Times New Roman"/>
                <w:sz w:val="20"/>
                <w:szCs w:val="20"/>
              </w:rPr>
              <w:t>, the alphanumeric German identification number</w:t>
            </w:r>
            <w:r w:rsidR="005016E5">
              <w:rPr>
                <w:rFonts w:ascii="Times New Roman" w:hAnsi="Times New Roman" w:cs="Times New Roman"/>
                <w:sz w:val="20"/>
                <w:szCs w:val="20"/>
              </w:rPr>
              <w:t>)</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543B4E" w:rsidRDefault="00543B4E" w:rsidP="0061769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r w:rsidR="00286DE8">
              <w:rPr>
                <w:rFonts w:ascii="Times New Roman" w:hAnsi="Times New Roman" w:cs="Times New Roman"/>
                <w:sz w:val="20"/>
                <w:szCs w:val="20"/>
                <w:lang w:val="de-DE"/>
              </w:rPr>
              <w:t>+</w:t>
            </w:r>
          </w:p>
          <w:p w:rsidR="00286DE8" w:rsidRPr="00A671EA" w:rsidRDefault="00286DE8" w:rsidP="00286DE8">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A671EA">
              <w:rPr>
                <w:rFonts w:ascii="Times New Roman" w:hAnsi="Times New Roman" w:cs="Times New Roman"/>
                <w:sz w:val="20"/>
                <w:szCs w:val="20"/>
              </w:rPr>
              <w:t>FIGI (Financial Instrument Global Identifier)</w:t>
            </w:r>
          </w:p>
          <w:p w:rsidR="00543B4E" w:rsidRPr="006C2F0D" w:rsidRDefault="00286DE8" w:rsidP="0061769B">
            <w:pPr>
              <w:spacing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 </w:t>
            </w:r>
            <w:r w:rsidR="00543B4E">
              <w:rPr>
                <w:rFonts w:ascii="Times New Roman" w:hAnsi="Times New Roman" w:cs="Times New Roman"/>
                <w:sz w:val="20"/>
                <w:szCs w:val="20"/>
              </w:rPr>
              <w:t>-</w:t>
            </w:r>
            <w:r w:rsidR="00543B4E" w:rsidRPr="006C2F0D">
              <w:rPr>
                <w:rFonts w:ascii="Times New Roman" w:hAnsi="Times New Roman" w:cs="Times New Roman"/>
                <w:sz w:val="20"/>
                <w:szCs w:val="20"/>
              </w:rPr>
              <w:t xml:space="preserve"> Other code by members of the Association of</w:t>
            </w:r>
            <w:r w:rsidR="00543B4E">
              <w:rPr>
                <w:rFonts w:ascii="Times New Roman" w:hAnsi="Times New Roman" w:cs="Times New Roman"/>
                <w:sz w:val="20"/>
                <w:szCs w:val="20"/>
              </w:rPr>
              <w:t xml:space="preserve"> </w:t>
            </w:r>
            <w:r w:rsidR="00543B4E" w:rsidRPr="006C2F0D">
              <w:rPr>
                <w:rFonts w:ascii="Times New Roman" w:hAnsi="Times New Roman" w:cs="Times New Roman"/>
                <w:sz w:val="20"/>
                <w:szCs w:val="20"/>
              </w:rPr>
              <w:t xml:space="preserve"> National Numbering Agencies</w:t>
            </w:r>
          </w:p>
          <w:p w:rsidR="000F0F3B" w:rsidRDefault="00286DE8"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9 - Code attributed by the undertaking</w:t>
            </w:r>
          </w:p>
          <w:p w:rsidR="00543B4E" w:rsidRPr="0061769B" w:rsidRDefault="00933A36"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r w:rsidR="000F0F3B">
              <w:rPr>
                <w:rFonts w:ascii="Times New Roman" w:hAnsi="Times New Roman" w:cs="Times New Roman"/>
                <w:sz w:val="20"/>
                <w:szCs w:val="20"/>
              </w:rPr>
              <w:t>.</w:t>
            </w:r>
          </w:p>
        </w:tc>
      </w:tr>
      <w:tr w:rsidR="00DE548D" w:rsidRPr="006C2F0D" w:rsidTr="009125C3">
        <w:trPr>
          <w:trHeight w:val="1530"/>
        </w:trPr>
        <w:tc>
          <w:tcPr>
            <w:tcW w:w="1425" w:type="dxa"/>
            <w:hideMark/>
          </w:tcPr>
          <w:p w:rsidR="00DE548D" w:rsidRPr="0061769B" w:rsidRDefault="00335000" w:rsidP="00A671EA">
            <w:pPr>
              <w:pStyle w:val="NoSpacing"/>
              <w:rPr>
                <w:rFonts w:ascii="Times New Roman" w:hAnsi="Times New Roman" w:cs="Times New Roman"/>
                <w:sz w:val="20"/>
                <w:szCs w:val="20"/>
              </w:rPr>
            </w:pPr>
            <w:r>
              <w:rPr>
                <w:rFonts w:ascii="Times New Roman" w:hAnsi="Times New Roman" w:cs="Times New Roman"/>
                <w:sz w:val="20"/>
              </w:rPr>
              <w:t>C019</w:t>
            </w:r>
            <w:r w:rsidR="00DE548D" w:rsidRPr="0061769B">
              <w:rPr>
                <w:rFonts w:ascii="Times New Roman" w:hAnsi="Times New Roman" w:cs="Times New Roman"/>
                <w:sz w:val="20"/>
              </w:rPr>
              <w:t>0</w:t>
            </w:r>
          </w:p>
        </w:tc>
        <w:tc>
          <w:tcPr>
            <w:tcW w:w="2327"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Item Title</w:t>
            </w:r>
          </w:p>
        </w:tc>
        <w:tc>
          <w:tcPr>
            <w:tcW w:w="5490" w:type="dxa"/>
            <w:hideMark/>
          </w:tcPr>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DE548D" w:rsidRPr="006C2F0D" w:rsidRDefault="00DE548D" w:rsidP="0061769B">
            <w:pPr>
              <w:rPr>
                <w:rFonts w:ascii="Times New Roman" w:hAnsi="Times New Roman" w:cs="Times New Roman"/>
                <w:sz w:val="20"/>
                <w:szCs w:val="20"/>
              </w:rPr>
            </w:pPr>
          </w:p>
          <w:p w:rsidR="00DE548D" w:rsidRPr="0061769B" w:rsidRDefault="00DE548D" w:rsidP="00A671EA">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1769B" w:rsidRDefault="00DE548D" w:rsidP="0061769B">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rsidR="00DE548D" w:rsidRPr="006C2F0D" w:rsidRDefault="00DE548D" w:rsidP="0061769B">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r w:rsidR="0016311F">
              <w:rPr>
                <w:rFonts w:ascii="Times New Roman" w:hAnsi="Times New Roman" w:cs="Times New Roman"/>
                <w:sz w:val="20"/>
                <w:szCs w:val="20"/>
              </w:rPr>
              <w:t>, CIC 71 and CIC 75</w:t>
            </w:r>
            <w:r w:rsidRPr="0061769B">
              <w:rPr>
                <w:rFonts w:ascii="Times New Roman" w:hAnsi="Times New Roman" w:cs="Times New Roman"/>
                <w:sz w:val="20"/>
                <w:szCs w:val="20"/>
              </w:rPr>
              <w:t>.</w:t>
            </w:r>
          </w:p>
          <w:p w:rsidR="00DE548D" w:rsidRPr="0061769B" w:rsidRDefault="00DE548D" w:rsidP="0061769B">
            <w:pPr>
              <w:pStyle w:val="ListParagraph"/>
              <w:rPr>
                <w:rFonts w:ascii="Times New Roman" w:hAnsi="Times New Roman" w:cs="Times New Roman"/>
                <w:sz w:val="20"/>
                <w:szCs w:val="20"/>
              </w:rPr>
            </w:pPr>
          </w:p>
        </w:tc>
      </w:tr>
      <w:tr w:rsidR="00DE548D" w:rsidRPr="006C2F0D" w:rsidTr="009125C3">
        <w:trPr>
          <w:trHeight w:val="3911"/>
        </w:trPr>
        <w:tc>
          <w:tcPr>
            <w:tcW w:w="1425" w:type="dxa"/>
            <w:hideMark/>
          </w:tcPr>
          <w:p w:rsidR="00DE548D" w:rsidRPr="0061769B" w:rsidRDefault="00335000" w:rsidP="00A671EA">
            <w:pPr>
              <w:pStyle w:val="NoSpacing"/>
              <w:rPr>
                <w:rFonts w:ascii="Times New Roman" w:hAnsi="Times New Roman" w:cs="Times New Roman"/>
                <w:sz w:val="20"/>
                <w:szCs w:val="20"/>
              </w:rPr>
            </w:pPr>
            <w:r>
              <w:rPr>
                <w:rFonts w:ascii="Times New Roman" w:hAnsi="Times New Roman" w:cs="Times New Roman"/>
                <w:sz w:val="20"/>
              </w:rPr>
              <w:t>C0200</w:t>
            </w:r>
          </w:p>
        </w:tc>
        <w:tc>
          <w:tcPr>
            <w:tcW w:w="2327"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490"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of the issuer, defined as the </w:t>
            </w:r>
            <w:r w:rsidR="000F0F3B" w:rsidRPr="0030221B">
              <w:rPr>
                <w:rFonts w:ascii="Times New Roman" w:hAnsi="Times New Roman" w:cs="Times New Roman"/>
                <w:sz w:val="20"/>
                <w:szCs w:val="20"/>
              </w:rPr>
              <w:t>entity that issues assets to investors</w:t>
            </w:r>
            <w:r>
              <w:rPr>
                <w:rFonts w:ascii="Times New Roman" w:hAnsi="Times New Roman" w:cs="Times New Roman"/>
                <w:sz w:val="20"/>
                <w:szCs w:val="20"/>
              </w:rPr>
              <w:t>.</w:t>
            </w:r>
            <w:r w:rsidRPr="0061769B">
              <w:rPr>
                <w:rFonts w:ascii="Times New Roman" w:hAnsi="Times New Roman" w:cs="Times New Roman"/>
                <w:sz w:val="20"/>
                <w:szCs w:val="20"/>
              </w:rPr>
              <w:t xml:space="preserve"> </w:t>
            </w:r>
          </w:p>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rsidR="00DE548D" w:rsidRPr="006C2F0D" w:rsidRDefault="00DE548D" w:rsidP="0061769B">
            <w:pPr>
              <w:rPr>
                <w:rFonts w:ascii="Times New Roman" w:hAnsi="Times New Roman" w:cs="Times New Roman"/>
                <w:sz w:val="20"/>
                <w:szCs w:val="20"/>
              </w:rPr>
            </w:pPr>
          </w:p>
          <w:p w:rsidR="00DE548D" w:rsidRPr="0061769B" w:rsidRDefault="00DE548D" w:rsidP="00A671EA">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Default="00DE548D" w:rsidP="0061769B">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0F0F3B" w:rsidRPr="006C2F0D" w:rsidRDefault="000F0F3B" w:rsidP="0061769B">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16311F">
              <w:rPr>
                <w:rFonts w:ascii="Times New Roman" w:hAnsi="Times New Roman" w:cs="Times New Roman"/>
                <w:sz w:val="20"/>
                <w:szCs w:val="20"/>
              </w:rPr>
              <w:t xml:space="preserve"> and CIC 75</w:t>
            </w:r>
            <w:r>
              <w:rPr>
                <w:rFonts w:ascii="Times New Roman" w:hAnsi="Times New Roman" w:cs="Times New Roman"/>
                <w:sz w:val="20"/>
                <w:szCs w:val="20"/>
              </w:rPr>
              <w:t>), the issuer name is the name of the depositary entity;</w:t>
            </w:r>
          </w:p>
          <w:p w:rsidR="00DE548D"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sidR="000F0F3B">
              <w:rPr>
                <w:rFonts w:ascii="Times New Roman" w:hAnsi="Times New Roman" w:cs="Times New Roman"/>
                <w:sz w:val="20"/>
                <w:szCs w:val="20"/>
              </w:rPr>
              <w:t>,</w:t>
            </w:r>
            <w:r w:rsidR="000F0F3B" w:rsidRPr="0061769B">
              <w:rPr>
                <w:rFonts w:ascii="Times New Roman" w:hAnsi="Times New Roman" w:cs="Times New Roman"/>
                <w:sz w:val="20"/>
                <w:szCs w:val="20"/>
              </w:rPr>
              <w:t xml:space="preserve"> as those assets are not required to be individualised</w:t>
            </w:r>
            <w:r w:rsidRPr="006C2F0D">
              <w:rPr>
                <w:rFonts w:ascii="Times New Roman" w:hAnsi="Times New Roman" w:cs="Times New Roman"/>
                <w:sz w:val="20"/>
                <w:szCs w:val="20"/>
              </w:rPr>
              <w:t>;</w:t>
            </w:r>
          </w:p>
          <w:p w:rsidR="00923C78" w:rsidRPr="0061769B" w:rsidRDefault="00923C78" w:rsidP="0061769B">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DE548D" w:rsidRPr="0061769B"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sidR="00B25E39">
              <w:rPr>
                <w:rFonts w:ascii="Times New Roman" w:hAnsi="Times New Roman" w:cs="Times New Roman"/>
                <w:sz w:val="20"/>
                <w:szCs w:val="20"/>
              </w:rPr>
              <w:t>CIC 71</w:t>
            </w:r>
            <w:r w:rsidR="0016311F">
              <w:rPr>
                <w:rFonts w:ascii="Times New Roman" w:hAnsi="Times New Roman" w:cs="Times New Roman"/>
                <w:sz w:val="20"/>
                <w:szCs w:val="20"/>
              </w:rPr>
              <w:t>, CIC 75</w:t>
            </w:r>
            <w:r w:rsidR="00B25E39">
              <w:rPr>
                <w:rFonts w:ascii="Times New Roman" w:hAnsi="Times New Roman" w:cs="Times New Roman"/>
                <w:sz w:val="20"/>
                <w:szCs w:val="20"/>
              </w:rPr>
              <w:t xml:space="preserve"> and </w:t>
            </w:r>
            <w:r w:rsidRPr="0061769B">
              <w:rPr>
                <w:rFonts w:ascii="Times New Roman" w:hAnsi="Times New Roman" w:cs="Times New Roman"/>
                <w:sz w:val="20"/>
                <w:szCs w:val="20"/>
              </w:rPr>
              <w:t xml:space="preserve">CIC category 9 – Property. </w:t>
            </w:r>
          </w:p>
          <w:p w:rsidR="00DE548D" w:rsidRPr="0061769B" w:rsidRDefault="00DE548D" w:rsidP="0061769B">
            <w:pPr>
              <w:ind w:left="360"/>
              <w:rPr>
                <w:rFonts w:ascii="Times New Roman" w:hAnsi="Times New Roman" w:cs="Times New Roman"/>
                <w:sz w:val="20"/>
                <w:szCs w:val="20"/>
              </w:rPr>
            </w:pPr>
          </w:p>
        </w:tc>
      </w:tr>
      <w:tr w:rsidR="00DE548D" w:rsidRPr="006C2F0D" w:rsidTr="009125C3">
        <w:trPr>
          <w:trHeight w:val="300"/>
        </w:trPr>
        <w:tc>
          <w:tcPr>
            <w:tcW w:w="1425" w:type="dxa"/>
            <w:hideMark/>
          </w:tcPr>
          <w:p w:rsidR="00DE548D" w:rsidRPr="00566107" w:rsidRDefault="00335000" w:rsidP="00A671EA">
            <w:pPr>
              <w:pStyle w:val="NoSpacing"/>
              <w:rPr>
                <w:rFonts w:ascii="Times New Roman" w:hAnsi="Times New Roman" w:cs="Times New Roman"/>
                <w:sz w:val="20"/>
                <w:szCs w:val="20"/>
              </w:rPr>
            </w:pPr>
            <w:r>
              <w:rPr>
                <w:rFonts w:ascii="Times New Roman" w:hAnsi="Times New Roman" w:cs="Times New Roman"/>
                <w:sz w:val="20"/>
              </w:rPr>
              <w:t>C0210</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490" w:type="dxa"/>
            <w:hideMark/>
          </w:tcPr>
          <w:p w:rsidR="00DE548D" w:rsidRDefault="00C23E0F" w:rsidP="0061769B">
            <w:pPr>
              <w:spacing w:after="200" w:line="276" w:lineRule="auto"/>
              <w:rP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FF3AE7">
              <w:rPr>
                <w:rFonts w:ascii="Times New Roman" w:hAnsi="Times New Roman" w:cs="Times New Roman"/>
                <w:sz w:val="20"/>
                <w:szCs w:val="20"/>
              </w:rPr>
              <w:t xml:space="preserve">of the issuer </w:t>
            </w:r>
            <w:r w:rsidRPr="00D3469E">
              <w:rPr>
                <w:rFonts w:ascii="Times New Roman" w:hAnsi="Times New Roman" w:cs="Times New Roman"/>
                <w:sz w:val="20"/>
                <w:szCs w:val="20"/>
              </w:rPr>
              <w:t>code</w:t>
            </w:r>
            <w:r>
              <w:rPr>
                <w:rFonts w:ascii="Times New Roman" w:hAnsi="Times New Roman" w:cs="Times New Roman"/>
                <w:sz w:val="20"/>
                <w:szCs w:val="20"/>
              </w:rPr>
              <w:t xml:space="preserve"> 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0F0F3B" w:rsidRPr="0061769B" w:rsidRDefault="000F0F3B" w:rsidP="00A671EA">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0F0F3B" w:rsidRDefault="000F0F3B" w:rsidP="000F0F3B">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p>
          <w:p w:rsidR="000F0F3B" w:rsidRPr="006C2F0D" w:rsidRDefault="000F0F3B" w:rsidP="000F0F3B">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16311F">
              <w:rPr>
                <w:rFonts w:ascii="Times New Roman" w:hAnsi="Times New Roman" w:cs="Times New Roman"/>
                <w:sz w:val="20"/>
                <w:szCs w:val="20"/>
              </w:rPr>
              <w:t xml:space="preserve"> and CIC 75</w:t>
            </w:r>
            <w:r>
              <w:rPr>
                <w:rFonts w:ascii="Times New Roman" w:hAnsi="Times New Roman" w:cs="Times New Roman"/>
                <w:sz w:val="20"/>
                <w:szCs w:val="20"/>
              </w:rPr>
              <w:t>), the issuer code is the code of the depositary entity</w:t>
            </w:r>
          </w:p>
          <w:p w:rsidR="000F0F3B" w:rsidRPr="0061769B" w:rsidRDefault="000F0F3B" w:rsidP="000F0F3B">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0F0F3B" w:rsidRPr="00A671EA" w:rsidRDefault="000F0F3B" w:rsidP="00A671EA">
            <w:pPr>
              <w:pStyle w:val="ListParagraph"/>
              <w:numPr>
                <w:ilvl w:val="0"/>
                <w:numId w:val="4"/>
              </w:numPr>
              <w:rPr>
                <w:rFonts w:ascii="Times New Roman" w:hAnsi="Times New Roman" w:cs="Times New Roman"/>
                <w:sz w:val="20"/>
                <w:szCs w:val="20"/>
              </w:rPr>
            </w:pPr>
            <w:r w:rsidRPr="00EF7858">
              <w:rPr>
                <w:rFonts w:ascii="Times New Roman" w:hAnsi="Times New Roman" w:cs="Times New Roman"/>
                <w:sz w:val="20"/>
                <w:szCs w:val="20"/>
              </w:rPr>
              <w:t>This item is not applicable for CIC 71</w:t>
            </w:r>
            <w:r w:rsidR="0016311F">
              <w:rPr>
                <w:rFonts w:ascii="Times New Roman" w:hAnsi="Times New Roman" w:cs="Times New Roman"/>
                <w:sz w:val="20"/>
                <w:szCs w:val="20"/>
              </w:rPr>
              <w:t>, CIC 75</w:t>
            </w:r>
            <w:r w:rsidRPr="00EF7858">
              <w:rPr>
                <w:rFonts w:ascii="Times New Roman" w:hAnsi="Times New Roman" w:cs="Times New Roman"/>
                <w:sz w:val="20"/>
                <w:szCs w:val="20"/>
              </w:rPr>
              <w:t xml:space="preserve">and </w:t>
            </w:r>
            <w:r w:rsidRPr="003E4442">
              <w:rPr>
                <w:rFonts w:ascii="Times New Roman" w:hAnsi="Times New Roman" w:cs="Times New Roman"/>
                <w:sz w:val="20"/>
                <w:szCs w:val="20"/>
              </w:rPr>
              <w:t xml:space="preserve">CIC category 9 – Property; </w:t>
            </w:r>
          </w:p>
          <w:p w:rsidR="00DE548D" w:rsidRPr="00566107" w:rsidRDefault="00DE548D" w:rsidP="00A671EA">
            <w:pPr>
              <w:pStyle w:val="ListParagraph"/>
              <w:numPr>
                <w:ilvl w:val="0"/>
                <w:numId w:val="4"/>
              </w:numPr>
            </w:pPr>
            <w:r w:rsidRPr="00A671EA">
              <w:rPr>
                <w:rFonts w:ascii="Times New Roman" w:hAnsi="Times New Roman" w:cs="Times New Roman"/>
                <w:sz w:val="20"/>
                <w:szCs w:val="20"/>
              </w:rPr>
              <w:t>This item is not applicable to CIC category 8 – Mortgages and Loans, when relating to mortgage and loans to natural persons.</w:t>
            </w:r>
          </w:p>
        </w:tc>
      </w:tr>
      <w:tr w:rsidR="00DE548D" w:rsidRPr="006C2F0D" w:rsidTr="009125C3">
        <w:trPr>
          <w:trHeight w:val="1381"/>
        </w:trPr>
        <w:tc>
          <w:tcPr>
            <w:tcW w:w="1425" w:type="dxa"/>
            <w:hideMark/>
          </w:tcPr>
          <w:p w:rsidR="00DE548D" w:rsidRPr="00566107" w:rsidRDefault="00335000" w:rsidP="00A671EA">
            <w:pPr>
              <w:pStyle w:val="NoSpacing"/>
              <w:rPr>
                <w:rFonts w:ascii="Times New Roman" w:hAnsi="Times New Roman" w:cs="Times New Roman"/>
                <w:sz w:val="20"/>
                <w:szCs w:val="20"/>
              </w:rPr>
            </w:pPr>
            <w:r>
              <w:rPr>
                <w:rFonts w:ascii="Times New Roman" w:hAnsi="Times New Roman" w:cs="Times New Roman"/>
                <w:sz w:val="20"/>
              </w:rPr>
              <w:t>C0220</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490" w:type="dxa"/>
            <w:hideMark/>
          </w:tcPr>
          <w:p w:rsidR="00DE548D" w:rsidRDefault="00DE548D" w:rsidP="00A671EA">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rsidR="005362D3" w:rsidRDefault="00DE548D" w:rsidP="00566107">
            <w:pPr>
              <w:tabs>
                <w:tab w:val="left" w:pos="1002"/>
              </w:tabs>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r w:rsidR="00C23E0F">
              <w:rPr>
                <w:rFonts w:ascii="Times New Roman" w:hAnsi="Times New Roman" w:cs="Times New Roman"/>
                <w:sz w:val="20"/>
                <w:szCs w:val="20"/>
              </w:rPr>
              <w:tab/>
            </w:r>
          </w:p>
          <w:p w:rsidR="005362D3" w:rsidRDefault="005362D3"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DE548D" w:rsidRPr="00566107" w:rsidRDefault="00DE548D" w:rsidP="0016311F">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sidR="004F4758">
              <w:rPr>
                <w:rFonts w:ascii="Times New Roman" w:hAnsi="Times New Roman" w:cs="Times New Roman"/>
                <w:sz w:val="20"/>
                <w:szCs w:val="20"/>
              </w:rPr>
              <w:t>CIC 71</w:t>
            </w:r>
            <w:r w:rsidR="0016311F">
              <w:rPr>
                <w:rFonts w:ascii="Times New Roman" w:hAnsi="Times New Roman" w:cs="Times New Roman"/>
                <w:sz w:val="20"/>
                <w:szCs w:val="20"/>
              </w:rPr>
              <w:t>, CIC 75</w:t>
            </w:r>
            <w:r w:rsidR="004F4758">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p>
        </w:tc>
      </w:tr>
      <w:tr w:rsidR="00DE548D" w:rsidRPr="006C2F0D" w:rsidTr="009125C3">
        <w:trPr>
          <w:trHeight w:val="699"/>
        </w:trPr>
        <w:tc>
          <w:tcPr>
            <w:tcW w:w="1425" w:type="dxa"/>
          </w:tcPr>
          <w:p w:rsidR="00DE548D" w:rsidRPr="0076719F" w:rsidRDefault="00335000" w:rsidP="00A671EA">
            <w:pPr>
              <w:pStyle w:val="NoSpacing"/>
              <w:rPr>
                <w:rFonts w:ascii="Times New Roman" w:hAnsi="Times New Roman" w:cs="Times New Roman"/>
                <w:sz w:val="20"/>
                <w:szCs w:val="20"/>
              </w:rPr>
            </w:pPr>
            <w:r>
              <w:rPr>
                <w:rFonts w:ascii="Times New Roman" w:hAnsi="Times New Roman" w:cs="Times New Roman"/>
                <w:sz w:val="20"/>
              </w:rPr>
              <w:t>C0230</w:t>
            </w:r>
          </w:p>
        </w:tc>
        <w:tc>
          <w:tcPr>
            <w:tcW w:w="2327" w:type="dxa"/>
          </w:tcPr>
          <w:p w:rsidR="00DE548D" w:rsidRPr="00D75BE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490" w:type="dxa"/>
          </w:tcPr>
          <w:p w:rsidR="00DE548D" w:rsidRDefault="00DE548D" w:rsidP="0061769B">
            <w:pPr>
              <w:jc w:val="both"/>
              <w:rPr>
                <w:rFonts w:ascii="Times New Roman" w:hAnsi="Times New Roman" w:cs="Times New Roman"/>
                <w:sz w:val="20"/>
                <w:szCs w:val="20"/>
              </w:rPr>
            </w:pPr>
            <w:r w:rsidRPr="0061769B">
              <w:rPr>
                <w:rFonts w:ascii="Times New Roman" w:hAnsi="Times New Roman" w:cs="Times New Roman"/>
                <w:sz w:val="20"/>
                <w:szCs w:val="20"/>
              </w:rPr>
              <w:t>Identify the economic sector of issuer based on the latest version of NACE code</w:t>
            </w:r>
            <w:r w:rsidR="003348BB">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DE548D" w:rsidRPr="006C2F0D" w:rsidRDefault="00DE548D" w:rsidP="0061769B">
            <w:pPr>
              <w:rPr>
                <w:rFonts w:ascii="Times New Roman" w:hAnsi="Times New Roman" w:cs="Times New Roman"/>
                <w:sz w:val="20"/>
                <w:szCs w:val="20"/>
              </w:rPr>
            </w:pPr>
          </w:p>
          <w:p w:rsidR="000F0F3B" w:rsidRPr="000F0F3B" w:rsidRDefault="000F0F3B" w:rsidP="00A671EA">
            <w:pPr>
              <w:spacing w:line="276" w:lineRule="auto"/>
              <w:rPr>
                <w:rFonts w:ascii="Times New Roman" w:hAnsi="Times New Roman" w:cs="Times New Roman"/>
                <w:sz w:val="20"/>
                <w:szCs w:val="20"/>
              </w:rPr>
            </w:pPr>
            <w:r w:rsidRPr="000F0F3B">
              <w:rPr>
                <w:rFonts w:ascii="Times New Roman" w:hAnsi="Times New Roman" w:cs="Times New Roman"/>
                <w:sz w:val="20"/>
                <w:szCs w:val="20"/>
              </w:rPr>
              <w:t>The following shall be considered:</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4 – Collective Investments Undertakings, the issuer sector is the sector of the fund manager;</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7 – Cash and deposits (excluding CIC 71</w:t>
            </w:r>
            <w:r w:rsidR="0016311F">
              <w:rPr>
                <w:rFonts w:ascii="Times New Roman" w:hAnsi="Times New Roman" w:cs="Times New Roman"/>
                <w:sz w:val="20"/>
                <w:szCs w:val="20"/>
              </w:rPr>
              <w:t xml:space="preserve"> and CIC 75</w:t>
            </w:r>
            <w:r w:rsidRPr="000F0F3B">
              <w:rPr>
                <w:rFonts w:ascii="Times New Roman" w:hAnsi="Times New Roman" w:cs="Times New Roman"/>
                <w:sz w:val="20"/>
                <w:szCs w:val="20"/>
              </w:rPr>
              <w:t>), the issuer sector is the sector of the depositary entity</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8 – Mortgages and Loans, other than mortgage and loans to natural persons the information shall relate to the borrower;</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This item is not applicable for CIC 71</w:t>
            </w:r>
            <w:r w:rsidR="0016311F">
              <w:rPr>
                <w:rFonts w:ascii="Times New Roman" w:hAnsi="Times New Roman" w:cs="Times New Roman"/>
                <w:sz w:val="20"/>
                <w:szCs w:val="20"/>
              </w:rPr>
              <w:t>, CIC 75</w:t>
            </w:r>
            <w:r w:rsidRPr="000F0F3B">
              <w:rPr>
                <w:rFonts w:ascii="Times New Roman" w:hAnsi="Times New Roman" w:cs="Times New Roman"/>
                <w:sz w:val="20"/>
                <w:szCs w:val="20"/>
              </w:rPr>
              <w:t xml:space="preserve">and CIC category 9 – Property; </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This item is not applicable to CIC category 8 – Mortgages and Loans, when relating to mortgage and loans to natural persons.</w:t>
            </w:r>
          </w:p>
          <w:p w:rsidR="00DE548D" w:rsidRPr="006C2F0D" w:rsidRDefault="00DE548D" w:rsidP="00566107">
            <w:pPr>
              <w:spacing w:after="200" w:line="276" w:lineRule="auto"/>
              <w:rPr>
                <w:rFonts w:ascii="Times New Roman" w:hAnsi="Times New Roman" w:cs="Times New Roman"/>
                <w:sz w:val="20"/>
                <w:szCs w:val="20"/>
              </w:rPr>
            </w:pPr>
          </w:p>
        </w:tc>
      </w:tr>
      <w:tr w:rsidR="00DE548D" w:rsidRPr="006C2F0D" w:rsidTr="00A671EA">
        <w:trPr>
          <w:trHeight w:val="1338"/>
        </w:trPr>
        <w:tc>
          <w:tcPr>
            <w:tcW w:w="1425" w:type="dxa"/>
            <w:hideMark/>
          </w:tcPr>
          <w:p w:rsidR="00DE548D" w:rsidRPr="00566107" w:rsidRDefault="00335000" w:rsidP="00A671EA">
            <w:pPr>
              <w:pStyle w:val="NoSpacing"/>
              <w:rPr>
                <w:rFonts w:ascii="Times New Roman" w:hAnsi="Times New Roman" w:cs="Times New Roman"/>
                <w:sz w:val="20"/>
                <w:szCs w:val="20"/>
              </w:rPr>
            </w:pPr>
            <w:r>
              <w:rPr>
                <w:rFonts w:ascii="Times New Roman" w:hAnsi="Times New Roman" w:cs="Times New Roman"/>
                <w:sz w:val="20"/>
              </w:rPr>
              <w:t>C0240</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490"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w:t>
            </w:r>
            <w:r w:rsidRPr="00FE3920">
              <w:rPr>
                <w:rFonts w:ascii="Times New Roman" w:hAnsi="Times New Roman" w:cs="Times New Roman"/>
                <w:sz w:val="20"/>
                <w:szCs w:val="20"/>
              </w:rPr>
              <w:t xml:space="preserve">parent </w:t>
            </w:r>
            <w:r w:rsidR="00CF0725" w:rsidRPr="00FE3920">
              <w:rPr>
                <w:rFonts w:ascii="Times New Roman" w:hAnsi="Times New Roman" w:cs="Times New Roman"/>
                <w:sz w:val="20"/>
                <w:szCs w:val="20"/>
              </w:rPr>
              <w:t>entity</w:t>
            </w:r>
            <w:r w:rsidRPr="00FE3920">
              <w:rPr>
                <w:rFonts w:ascii="Times New Roman" w:hAnsi="Times New Roman" w:cs="Times New Roman"/>
                <w:sz w:val="20"/>
                <w:szCs w:val="20"/>
              </w:rPr>
              <w:t>. For collective investment undertakings the group relation</w:t>
            </w:r>
            <w:r w:rsidRPr="0061769B">
              <w:rPr>
                <w:rFonts w:ascii="Times New Roman" w:hAnsi="Times New Roman" w:cs="Times New Roman"/>
                <w:sz w:val="20"/>
                <w:szCs w:val="20"/>
              </w:rPr>
              <w:t xml:space="preserve"> relates to the fund manager.</w:t>
            </w:r>
          </w:p>
          <w:p w:rsidR="000F0F3B" w:rsidRDefault="000F0F3B" w:rsidP="004F4758">
            <w:pPr>
              <w:spacing w:line="276" w:lineRule="auto"/>
              <w:rPr>
                <w:rFonts w:ascii="Times New Roman" w:hAnsi="Times New Roman" w:cs="Times New Roman"/>
                <w:sz w:val="20"/>
                <w:szCs w:val="20"/>
              </w:rPr>
            </w:pPr>
            <w:r w:rsidRPr="006C2F0D">
              <w:rPr>
                <w:rFonts w:ascii="Times New Roman" w:hAnsi="Times New Roman" w:cs="Times New Roman"/>
                <w:sz w:val="20"/>
                <w:szCs w:val="20"/>
              </w:rPr>
              <w:t>When available, this item corresponds to the entity name in the LEI database. When this is not available corresponds to the legal name.</w:t>
            </w:r>
          </w:p>
          <w:p w:rsidR="000F0F3B" w:rsidRPr="000F0F3B" w:rsidRDefault="00DE548D" w:rsidP="00A671EA">
            <w:pPr>
              <w:spacing w:line="276" w:lineRule="auto"/>
              <w:rPr>
                <w:rFonts w:ascii="Times New Roman" w:hAnsi="Times New Roman" w:cs="Times New Roman"/>
                <w:sz w:val="20"/>
                <w:szCs w:val="20"/>
              </w:rPr>
            </w:pPr>
            <w:r w:rsidRPr="0061769B">
              <w:rPr>
                <w:rFonts w:ascii="Times New Roman" w:hAnsi="Times New Roman" w:cs="Times New Roman"/>
                <w:sz w:val="20"/>
                <w:szCs w:val="20"/>
              </w:rPr>
              <w:br/>
            </w:r>
            <w:r w:rsidR="000F0F3B" w:rsidRPr="000F0F3B">
              <w:rPr>
                <w:rFonts w:ascii="Times New Roman" w:hAnsi="Times New Roman" w:cs="Times New Roman"/>
                <w:sz w:val="20"/>
                <w:szCs w:val="20"/>
              </w:rPr>
              <w:t>The following shall be considered:</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4 – Collective Investments Undertakings, the group relation relates to the fund manager;</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7 – Cash and deposits (excluding CIC 71</w:t>
            </w:r>
            <w:r w:rsidR="0016311F">
              <w:rPr>
                <w:rFonts w:ascii="Times New Roman" w:hAnsi="Times New Roman" w:cs="Times New Roman"/>
                <w:sz w:val="20"/>
                <w:szCs w:val="20"/>
              </w:rPr>
              <w:t xml:space="preserve"> and CIC 75</w:t>
            </w:r>
            <w:r w:rsidRPr="000F0F3B">
              <w:rPr>
                <w:rFonts w:ascii="Times New Roman" w:hAnsi="Times New Roman" w:cs="Times New Roman"/>
                <w:sz w:val="20"/>
                <w:szCs w:val="20"/>
              </w:rPr>
              <w:t>), the group relation relates to the depositary entity</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8 – Mortgages and Loans, other than mortgage and loans to natural persons the group relation relates to the borrower;</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This item is not applicable for CIC category 8 – Mortgages and Loans (for mortgages and loans to natural persons)</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This item is not applicable for CIC 71</w:t>
            </w:r>
            <w:r w:rsidR="00710F05">
              <w:rPr>
                <w:rFonts w:ascii="Times New Roman" w:hAnsi="Times New Roman" w:cs="Times New Roman"/>
                <w:sz w:val="20"/>
                <w:szCs w:val="20"/>
              </w:rPr>
              <w:t>, CIC 75</w:t>
            </w:r>
            <w:r w:rsidRPr="000F0F3B">
              <w:rPr>
                <w:rFonts w:ascii="Times New Roman" w:hAnsi="Times New Roman" w:cs="Times New Roman"/>
                <w:sz w:val="20"/>
                <w:szCs w:val="20"/>
              </w:rPr>
              <w:t xml:space="preserve"> and CIC category 9 – Property. </w:t>
            </w:r>
          </w:p>
          <w:p w:rsidR="00DE548D" w:rsidRPr="00566107" w:rsidRDefault="00DE548D" w:rsidP="004F4758">
            <w:pPr>
              <w:spacing w:line="276" w:lineRule="auto"/>
              <w:rPr>
                <w:rFonts w:ascii="Times New Roman" w:hAnsi="Times New Roman" w:cs="Times New Roman"/>
                <w:sz w:val="20"/>
                <w:szCs w:val="20"/>
              </w:rPr>
            </w:pPr>
          </w:p>
        </w:tc>
      </w:tr>
      <w:tr w:rsidR="00DE548D" w:rsidRPr="006C2F0D" w:rsidTr="009125C3">
        <w:trPr>
          <w:trHeight w:val="855"/>
        </w:trPr>
        <w:tc>
          <w:tcPr>
            <w:tcW w:w="1425" w:type="dxa"/>
            <w:hideMark/>
          </w:tcPr>
          <w:p w:rsidR="00DE548D" w:rsidRPr="00566107" w:rsidRDefault="00335000" w:rsidP="00A671EA">
            <w:pPr>
              <w:pStyle w:val="NoSpacing"/>
              <w:rPr>
                <w:rFonts w:ascii="Times New Roman" w:hAnsi="Times New Roman" w:cs="Times New Roman"/>
                <w:sz w:val="20"/>
                <w:szCs w:val="20"/>
              </w:rPr>
            </w:pPr>
            <w:r>
              <w:rPr>
                <w:rFonts w:ascii="Times New Roman" w:hAnsi="Times New Roman" w:cs="Times New Roman"/>
                <w:sz w:val="20"/>
              </w:rPr>
              <w:t>C0250</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490" w:type="dxa"/>
            <w:hideMark/>
          </w:tcPr>
          <w:p w:rsidR="00DE548D" w:rsidRPr="0061769B" w:rsidRDefault="00FF3AE7"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3570A4">
              <w:rPr>
                <w:rFonts w:ascii="Times New Roman" w:hAnsi="Times New Roman" w:cs="Times New Roman"/>
                <w:sz w:val="20"/>
                <w:szCs w:val="20"/>
              </w:rPr>
              <w:t xml:space="preserve">using the </w:t>
            </w:r>
            <w:r w:rsidR="003570A4" w:rsidRPr="00D3469E">
              <w:rPr>
                <w:rFonts w:ascii="Times New Roman" w:hAnsi="Times New Roman" w:cs="Times New Roman"/>
                <w:sz w:val="20"/>
                <w:szCs w:val="20"/>
              </w:rPr>
              <w:t>Legal Entity Identifier (LEI) if available</w:t>
            </w:r>
            <w:r w:rsidR="003570A4">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0F0F3B" w:rsidRPr="000F0F3B" w:rsidRDefault="000F0F3B" w:rsidP="00A671EA">
            <w:pPr>
              <w:spacing w:line="276" w:lineRule="auto"/>
              <w:rPr>
                <w:rFonts w:ascii="Times New Roman" w:hAnsi="Times New Roman" w:cs="Times New Roman"/>
                <w:sz w:val="20"/>
                <w:szCs w:val="20"/>
              </w:rPr>
            </w:pPr>
            <w:r w:rsidRPr="000F0F3B">
              <w:rPr>
                <w:rFonts w:ascii="Times New Roman" w:hAnsi="Times New Roman" w:cs="Times New Roman"/>
                <w:sz w:val="20"/>
                <w:szCs w:val="20"/>
              </w:rPr>
              <w:t>The following shall be considered:</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4 – Collective Investments Undertakings, the group relation relates to the fund manager;</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7 – Cash and deposits (excluding CIC 71</w:t>
            </w:r>
            <w:r w:rsidR="00710F05">
              <w:rPr>
                <w:rFonts w:ascii="Times New Roman" w:hAnsi="Times New Roman" w:cs="Times New Roman"/>
                <w:sz w:val="20"/>
                <w:szCs w:val="20"/>
              </w:rPr>
              <w:t xml:space="preserve"> and CIC 75</w:t>
            </w:r>
            <w:r w:rsidRPr="000F0F3B">
              <w:rPr>
                <w:rFonts w:ascii="Times New Roman" w:hAnsi="Times New Roman" w:cs="Times New Roman"/>
                <w:sz w:val="20"/>
                <w:szCs w:val="20"/>
              </w:rPr>
              <w:t>), the group relation relates to the depositary entity</w:t>
            </w:r>
          </w:p>
          <w:p w:rsidR="000F0F3B" w:rsidRPr="000F0F3B" w:rsidRDefault="000F0F3B" w:rsidP="000F0F3B">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8 – Mortgages and Loans, other than mortgage and loans to natural persons the group relation relates to the borrower;</w:t>
            </w:r>
          </w:p>
          <w:p w:rsidR="000F0F3B" w:rsidRDefault="000F0F3B" w:rsidP="00A671EA">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This item is not applicable for CIC category 8 – Mortgages and Loans (for mortgages and loans to natural persons)</w:t>
            </w:r>
          </w:p>
          <w:p w:rsidR="00DE548D" w:rsidRPr="00EF5482" w:rsidRDefault="000F0F3B" w:rsidP="00A671EA">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This item is not applicable for CIC 71</w:t>
            </w:r>
            <w:r w:rsidR="00710F05">
              <w:rPr>
                <w:rFonts w:ascii="Times New Roman" w:hAnsi="Times New Roman" w:cs="Times New Roman"/>
                <w:sz w:val="20"/>
                <w:szCs w:val="20"/>
              </w:rPr>
              <w:t>, CIC 75</w:t>
            </w:r>
            <w:r w:rsidRPr="000F0F3B">
              <w:rPr>
                <w:rFonts w:ascii="Times New Roman" w:hAnsi="Times New Roman" w:cs="Times New Roman"/>
                <w:sz w:val="20"/>
                <w:szCs w:val="20"/>
              </w:rPr>
              <w:t xml:space="preserve"> and CIC category 9 – Property.</w:t>
            </w:r>
          </w:p>
        </w:tc>
      </w:tr>
      <w:tr w:rsidR="00DE548D" w:rsidRPr="006C2F0D" w:rsidTr="009125C3">
        <w:trPr>
          <w:trHeight w:val="300"/>
        </w:trPr>
        <w:tc>
          <w:tcPr>
            <w:tcW w:w="1425" w:type="dxa"/>
            <w:hideMark/>
          </w:tcPr>
          <w:p w:rsidR="00DE548D" w:rsidRPr="00566107" w:rsidRDefault="00335000" w:rsidP="00A671EA">
            <w:pPr>
              <w:pStyle w:val="NoSpacing"/>
              <w:rPr>
                <w:rFonts w:ascii="Times New Roman" w:hAnsi="Times New Roman" w:cs="Times New Roman"/>
                <w:sz w:val="20"/>
                <w:szCs w:val="20"/>
              </w:rPr>
            </w:pPr>
            <w:r>
              <w:rPr>
                <w:rFonts w:ascii="Times New Roman" w:hAnsi="Times New Roman" w:cs="Times New Roman"/>
                <w:sz w:val="20"/>
              </w:rPr>
              <w:t>C0260</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490" w:type="dxa"/>
            <w:hideMark/>
          </w:tcPr>
          <w:p w:rsidR="005362D3" w:rsidRDefault="00DE548D" w:rsidP="00566107">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DE548D" w:rsidRDefault="005362D3" w:rsidP="003570A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9 </w:t>
            </w:r>
            <w:r w:rsidR="000F0F3B">
              <w:rPr>
                <w:rFonts w:ascii="Times New Roman" w:hAnsi="Times New Roman" w:cs="Times New Roman"/>
                <w:sz w:val="20"/>
                <w:szCs w:val="20"/>
              </w:rPr>
              <w:t>–</w:t>
            </w:r>
            <w:r>
              <w:rPr>
                <w:rFonts w:ascii="Times New Roman" w:hAnsi="Times New Roman" w:cs="Times New Roman"/>
                <w:sz w:val="20"/>
                <w:szCs w:val="20"/>
              </w:rPr>
              <w:t xml:space="preserve"> None</w:t>
            </w:r>
          </w:p>
          <w:p w:rsidR="000F0F3B" w:rsidRPr="0061769B" w:rsidRDefault="000F0F3B" w:rsidP="000F0F3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0F0F3B" w:rsidRPr="00566107" w:rsidRDefault="000F0F3B" w:rsidP="00710F05">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710F05">
              <w:rPr>
                <w:rFonts w:ascii="Times New Roman" w:hAnsi="Times New Roman" w:cs="Times New Roman"/>
                <w:sz w:val="20"/>
                <w:szCs w:val="20"/>
              </w:rPr>
              <w:t>, CIC 75</w:t>
            </w:r>
            <w:r>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p>
        </w:tc>
      </w:tr>
      <w:tr w:rsidR="00DE548D" w:rsidRPr="006C2F0D" w:rsidTr="009125C3">
        <w:trPr>
          <w:trHeight w:val="557"/>
        </w:trPr>
        <w:tc>
          <w:tcPr>
            <w:tcW w:w="1425" w:type="dxa"/>
          </w:tcPr>
          <w:p w:rsidR="00DE548D" w:rsidRPr="00566107" w:rsidRDefault="00335000" w:rsidP="00A671EA">
            <w:pPr>
              <w:pStyle w:val="NoSpacing"/>
              <w:rPr>
                <w:rFonts w:ascii="Times New Roman" w:hAnsi="Times New Roman" w:cs="Times New Roman"/>
                <w:sz w:val="20"/>
                <w:szCs w:val="20"/>
              </w:rPr>
            </w:pPr>
            <w:r>
              <w:rPr>
                <w:rFonts w:ascii="Times New Roman" w:hAnsi="Times New Roman" w:cs="Times New Roman"/>
                <w:sz w:val="20"/>
              </w:rPr>
              <w:t>C0270</w:t>
            </w:r>
          </w:p>
        </w:tc>
        <w:tc>
          <w:tcPr>
            <w:tcW w:w="2327" w:type="dxa"/>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490"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rsidR="00DE548D"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p>
          <w:p w:rsidR="00EF5482" w:rsidRPr="0061769B" w:rsidRDefault="00EF5482" w:rsidP="00A671EA">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EF5482" w:rsidRDefault="00EF5482" w:rsidP="00EF5482">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country</w:t>
            </w:r>
            <w:r w:rsidRPr="006C2F0D">
              <w:rPr>
                <w:rFonts w:ascii="Times New Roman" w:hAnsi="Times New Roman" w:cs="Times New Roman"/>
                <w:sz w:val="20"/>
                <w:szCs w:val="20"/>
              </w:rPr>
              <w:t xml:space="preserve"> is the </w:t>
            </w:r>
            <w:r>
              <w:rPr>
                <w:rFonts w:ascii="Times New Roman" w:hAnsi="Times New Roman" w:cs="Times New Roman"/>
                <w:sz w:val="20"/>
                <w:szCs w:val="20"/>
              </w:rPr>
              <w:t>country</w:t>
            </w:r>
            <w:r w:rsidRPr="006C2F0D">
              <w:rPr>
                <w:rFonts w:ascii="Times New Roman" w:hAnsi="Times New Roman" w:cs="Times New Roman"/>
                <w:sz w:val="20"/>
                <w:szCs w:val="20"/>
              </w:rPr>
              <w:t xml:space="preserve"> </w:t>
            </w:r>
            <w:r w:rsidRPr="0061769B">
              <w:rPr>
                <w:rFonts w:ascii="Times New Roman" w:hAnsi="Times New Roman" w:cs="Times New Roman"/>
                <w:sz w:val="20"/>
                <w:szCs w:val="20"/>
              </w:rPr>
              <w:t>is relative to</w:t>
            </w:r>
            <w:r w:rsidRPr="006C2F0D">
              <w:rPr>
                <w:rFonts w:ascii="Times New Roman" w:hAnsi="Times New Roman" w:cs="Times New Roman"/>
                <w:sz w:val="20"/>
                <w:szCs w:val="20"/>
              </w:rPr>
              <w:t xml:space="preserve"> the fund manager;</w:t>
            </w:r>
          </w:p>
          <w:p w:rsidR="00EF5482" w:rsidRPr="006C2F0D" w:rsidRDefault="00EF5482" w:rsidP="00EF5482">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710F05">
              <w:rPr>
                <w:rFonts w:ascii="Times New Roman" w:hAnsi="Times New Roman" w:cs="Times New Roman"/>
                <w:sz w:val="20"/>
                <w:szCs w:val="20"/>
              </w:rPr>
              <w:t xml:space="preserve"> and CIC 75</w:t>
            </w:r>
            <w:r>
              <w:rPr>
                <w:rFonts w:ascii="Times New Roman" w:hAnsi="Times New Roman" w:cs="Times New Roman"/>
                <w:sz w:val="20"/>
                <w:szCs w:val="20"/>
              </w:rPr>
              <w:t>), the issuer country is the country of the depositary entity</w:t>
            </w:r>
          </w:p>
          <w:p w:rsidR="00EF5482" w:rsidRPr="0061769B" w:rsidRDefault="00EF5482" w:rsidP="00EF5482">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EF5482" w:rsidRDefault="00EF5482" w:rsidP="00EF5482">
            <w:pPr>
              <w:pStyle w:val="ListParagraph"/>
              <w:numPr>
                <w:ilvl w:val="0"/>
                <w:numId w:val="4"/>
              </w:numPr>
              <w:spacing w:after="200" w:line="276" w:lineRule="auto"/>
              <w:rPr>
                <w:rFonts w:ascii="Times New Roman" w:hAnsi="Times New Roman" w:cs="Times New Roman"/>
                <w:sz w:val="20"/>
                <w:szCs w:val="20"/>
              </w:rPr>
            </w:pPr>
            <w:r w:rsidRPr="00EF7858">
              <w:rPr>
                <w:rFonts w:ascii="Times New Roman" w:hAnsi="Times New Roman" w:cs="Times New Roman"/>
                <w:sz w:val="20"/>
                <w:szCs w:val="20"/>
              </w:rPr>
              <w:t>This item is not applicable for CIC 71</w:t>
            </w:r>
            <w:r w:rsidR="00710F05">
              <w:rPr>
                <w:rFonts w:ascii="Times New Roman" w:hAnsi="Times New Roman" w:cs="Times New Roman"/>
                <w:sz w:val="20"/>
                <w:szCs w:val="20"/>
              </w:rPr>
              <w:t>, CIC 75</w:t>
            </w:r>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p>
          <w:p w:rsidR="00EF5482" w:rsidRPr="003E4442" w:rsidRDefault="00EF5482" w:rsidP="00EF5482">
            <w:pPr>
              <w:pStyle w:val="ListParagraph"/>
              <w:numPr>
                <w:ilvl w:val="0"/>
                <w:numId w:val="4"/>
              </w:numPr>
              <w:spacing w:after="200" w:line="276" w:lineRule="auto"/>
              <w:rPr>
                <w:rFonts w:ascii="Times New Roman" w:hAnsi="Times New Roman" w:cs="Times New Roman"/>
                <w:sz w:val="20"/>
                <w:szCs w:val="20"/>
              </w:rPr>
            </w:pPr>
            <w:r w:rsidRPr="00EF7858">
              <w:rPr>
                <w:rFonts w:ascii="Times New Roman" w:hAnsi="Times New Roman" w:cs="Times New Roman"/>
                <w:sz w:val="20"/>
                <w:szCs w:val="20"/>
              </w:rPr>
              <w:t>This item is not applicable to CIC category 8 – Mortgages and Loans, when relating to mortgage and loans to natural persons.</w:t>
            </w:r>
          </w:p>
          <w:p w:rsidR="00DE548D" w:rsidRPr="006C2F0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One of the options shall be used: </w:t>
            </w:r>
            <w:r w:rsidRPr="0061769B">
              <w:rPr>
                <w:rFonts w:ascii="Times New Roman" w:hAnsi="Times New Roman" w:cs="Times New Roman"/>
                <w:sz w:val="20"/>
                <w:szCs w:val="20"/>
              </w:rPr>
              <w:br/>
              <w:t xml:space="preserve">  - ISO 3166-1 alpha-2 code</w:t>
            </w:r>
            <w:r w:rsidRPr="0061769B">
              <w:rPr>
                <w:rFonts w:ascii="Times New Roman" w:hAnsi="Times New Roman" w:cs="Times New Roman"/>
                <w:sz w:val="20"/>
                <w:szCs w:val="20"/>
              </w:rPr>
              <w:br/>
              <w:t xml:space="preserve">  - XA: Supranational issuers</w:t>
            </w:r>
            <w:r w:rsidRPr="0061769B">
              <w:rPr>
                <w:rFonts w:ascii="Times New Roman" w:hAnsi="Times New Roman" w:cs="Times New Roman"/>
                <w:sz w:val="20"/>
                <w:szCs w:val="20"/>
              </w:rPr>
              <w:br/>
              <w:t xml:space="preserve">  - EU: European Union Institutions</w:t>
            </w:r>
          </w:p>
          <w:p w:rsidR="00DE548D" w:rsidRPr="006C2F0D" w:rsidRDefault="00DE548D" w:rsidP="00566107"/>
        </w:tc>
      </w:tr>
      <w:tr w:rsidR="001C2C83" w:rsidRPr="006C2F0D" w:rsidTr="009125C3">
        <w:trPr>
          <w:trHeight w:val="300"/>
        </w:trPr>
        <w:tc>
          <w:tcPr>
            <w:tcW w:w="1425" w:type="dxa"/>
            <w:hideMark/>
          </w:tcPr>
          <w:p w:rsidR="001C2C83" w:rsidRPr="0061769B" w:rsidRDefault="001C2C83" w:rsidP="00A671EA">
            <w:pPr>
              <w:pStyle w:val="NoSpacing"/>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80</w:t>
            </w:r>
          </w:p>
        </w:tc>
        <w:tc>
          <w:tcPr>
            <w:tcW w:w="2327"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Currency</w:t>
            </w:r>
          </w:p>
        </w:tc>
        <w:tc>
          <w:tcPr>
            <w:tcW w:w="5490" w:type="dxa"/>
            <w:hideMark/>
          </w:tcPr>
          <w:p w:rsidR="001C2C83" w:rsidRPr="006C2F0D" w:rsidRDefault="001C2C83" w:rsidP="0061769B">
            <w:pPr>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rsidR="001C2C83" w:rsidRPr="006C2F0D" w:rsidRDefault="001C2C83"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1769B" w:rsidRDefault="001C2C83"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xml:space="preserve">, as those assets are not required to be individualised), </w:t>
            </w:r>
            <w:r w:rsidR="00710F05">
              <w:rPr>
                <w:rFonts w:ascii="Times New Roman" w:hAnsi="Times New Roman" w:cs="Times New Roman"/>
                <w:sz w:val="20"/>
                <w:szCs w:val="20"/>
              </w:rPr>
              <w:t xml:space="preserve">CIC 75 </w:t>
            </w:r>
            <w:r w:rsidRPr="0061769B">
              <w:rPr>
                <w:rFonts w:ascii="Times New Roman" w:hAnsi="Times New Roman" w:cs="Times New Roman"/>
                <w:sz w:val="20"/>
                <w:szCs w:val="20"/>
              </w:rPr>
              <w:t>and for CIC 95 Plant and equipment (for own use) for the same reason</w:t>
            </w:r>
            <w:r>
              <w:rPr>
                <w:rFonts w:ascii="Times New Roman" w:hAnsi="Times New Roman" w:cs="Times New Roman"/>
                <w:sz w:val="20"/>
                <w:szCs w:val="20"/>
              </w:rPr>
              <w:t>;</w:t>
            </w:r>
          </w:p>
          <w:p w:rsidR="001C2C83" w:rsidRPr="0061769B" w:rsidRDefault="001C2C83" w:rsidP="00A671EA">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9, excluding CIC 95 Plant and equipment (for own use), the currency corresponds to the currency in which the investment was made.</w:t>
            </w:r>
          </w:p>
        </w:tc>
      </w:tr>
      <w:tr w:rsidR="001C2C83" w:rsidRPr="006C2F0D" w:rsidTr="00A671EA">
        <w:trPr>
          <w:trHeight w:val="1381"/>
        </w:trPr>
        <w:tc>
          <w:tcPr>
            <w:tcW w:w="1425" w:type="dxa"/>
            <w:hideMark/>
          </w:tcPr>
          <w:p w:rsidR="001C2C83" w:rsidRPr="0061769B" w:rsidRDefault="001C2C83" w:rsidP="00A671EA">
            <w:pPr>
              <w:pStyle w:val="NoSpacing"/>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9</w:t>
            </w:r>
            <w:r w:rsidRPr="0061769B">
              <w:rPr>
                <w:rFonts w:ascii="Times New Roman" w:hAnsi="Times New Roman" w:cs="Times New Roman"/>
                <w:sz w:val="20"/>
              </w:rPr>
              <w:t>0</w:t>
            </w:r>
          </w:p>
        </w:tc>
        <w:tc>
          <w:tcPr>
            <w:tcW w:w="2327"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CIC</w:t>
            </w:r>
          </w:p>
        </w:tc>
        <w:tc>
          <w:tcPr>
            <w:tcW w:w="549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r w:rsidRPr="0076719F">
              <w:rPr>
                <w:rFonts w:ascii="Times New Roman" w:hAnsi="Times New Roman" w:cs="Times New Roman"/>
                <w:sz w:val="20"/>
                <w:szCs w:val="20"/>
              </w:rPr>
              <w:t xml:space="preserve">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When classifying an asset using the CIC table, undertakings shall take into consideration the most representative risk to which the asset is exposed to.</w:t>
            </w:r>
          </w:p>
        </w:tc>
      </w:tr>
      <w:tr w:rsidR="001C2C83" w:rsidRPr="006C2F0D" w:rsidTr="009125C3">
        <w:trPr>
          <w:trHeight w:val="699"/>
        </w:trPr>
        <w:tc>
          <w:tcPr>
            <w:tcW w:w="1425" w:type="dxa"/>
          </w:tcPr>
          <w:p w:rsidR="001C2C83" w:rsidRPr="0076719F" w:rsidRDefault="00335000" w:rsidP="0061769B">
            <w:pPr>
              <w:rPr>
                <w:rFonts w:ascii="Times New Roman" w:hAnsi="Times New Roman" w:cs="Times New Roman"/>
                <w:sz w:val="20"/>
                <w:szCs w:val="20"/>
              </w:rPr>
            </w:pPr>
            <w:r>
              <w:rPr>
                <w:rFonts w:ascii="Times New Roman" w:hAnsi="Times New Roman" w:cs="Times New Roman"/>
                <w:sz w:val="20"/>
                <w:szCs w:val="20"/>
              </w:rPr>
              <w:t>C0300</w:t>
            </w:r>
          </w:p>
        </w:tc>
        <w:tc>
          <w:tcPr>
            <w:tcW w:w="2327" w:type="dxa"/>
          </w:tcPr>
          <w:p w:rsidR="001C2C83" w:rsidRPr="00D75BE7" w:rsidRDefault="001C2C83" w:rsidP="0061769B">
            <w:pPr>
              <w:spacing w:after="200" w:line="276" w:lineRule="auto"/>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490" w:type="dxa"/>
          </w:tcPr>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933A36" w:rsidRDefault="00933A36" w:rsidP="0061769B">
            <w:pPr>
              <w:pStyle w:val="NoSpacing"/>
              <w:rPr>
                <w:rFonts w:ascii="Times New Roman" w:hAnsi="Times New Roman" w:cs="Times New Roman"/>
                <w:sz w:val="20"/>
                <w:szCs w:val="20"/>
              </w:rPr>
            </w:pPr>
            <w:r>
              <w:rPr>
                <w:rFonts w:ascii="Times New Roman" w:hAnsi="Times New Roman" w:cs="Times New Roman"/>
                <w:sz w:val="20"/>
                <w:szCs w:val="20"/>
              </w:rPr>
              <w:t>1</w:t>
            </w:r>
            <w:r w:rsidRPr="0061769B">
              <w:rPr>
                <w:rFonts w:ascii="Times New Roman" w:hAnsi="Times New Roman" w:cs="Times New Roman"/>
                <w:sz w:val="20"/>
                <w:szCs w:val="20"/>
              </w:rPr>
              <w:t xml:space="preserve"> - Not an infrastructure investment </w:t>
            </w:r>
          </w:p>
          <w:p w:rsidR="001C2C83" w:rsidRPr="0061769B" w:rsidRDefault="00933A36" w:rsidP="0061769B">
            <w:pPr>
              <w:pStyle w:val="NoSpacing"/>
              <w:rPr>
                <w:rFonts w:ascii="Times New Roman" w:hAnsi="Times New Roman" w:cs="Times New Roman"/>
                <w:sz w:val="20"/>
                <w:szCs w:val="20"/>
              </w:rPr>
            </w:pPr>
            <w:r>
              <w:rPr>
                <w:rFonts w:ascii="Times New Roman" w:hAnsi="Times New Roman" w:cs="Times New Roman"/>
                <w:sz w:val="20"/>
                <w:szCs w:val="20"/>
              </w:rPr>
              <w:t>2</w:t>
            </w:r>
            <w:r w:rsidR="001C2C83" w:rsidRPr="0061769B">
              <w:rPr>
                <w:rFonts w:ascii="Times New Roman" w:hAnsi="Times New Roman" w:cs="Times New Roman"/>
                <w:sz w:val="20"/>
                <w:szCs w:val="20"/>
              </w:rPr>
              <w:t xml:space="preserve"> - Government Guarantee</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where there is an explicit government guarantee</w:t>
            </w:r>
          </w:p>
          <w:p w:rsidR="001C2C83" w:rsidRPr="0061769B" w:rsidRDefault="00933A36" w:rsidP="0061769B">
            <w:pPr>
              <w:pStyle w:val="NoSpacing"/>
              <w:rPr>
                <w:rFonts w:ascii="Times New Roman" w:hAnsi="Times New Roman" w:cs="Times New Roman"/>
                <w:sz w:val="20"/>
                <w:szCs w:val="20"/>
              </w:rPr>
            </w:pPr>
            <w:r>
              <w:rPr>
                <w:rFonts w:ascii="Times New Roman" w:hAnsi="Times New Roman" w:cs="Times New Roman"/>
                <w:sz w:val="20"/>
                <w:szCs w:val="20"/>
              </w:rPr>
              <w:t>3</w:t>
            </w:r>
            <w:r w:rsidR="001C2C83" w:rsidRPr="0061769B">
              <w:rPr>
                <w:rFonts w:ascii="Times New Roman" w:hAnsi="Times New Roman" w:cs="Times New Roman"/>
                <w:sz w:val="20"/>
                <w:szCs w:val="20"/>
              </w:rPr>
              <w:t xml:space="preserve"> - Government Supported including Public Finance initiative</w:t>
            </w:r>
            <w:r>
              <w:rPr>
                <w:rFonts w:ascii="Times New Roman" w:hAnsi="Times New Roman" w:cs="Times New Roman"/>
                <w:sz w:val="20"/>
                <w:szCs w:val="20"/>
              </w:rPr>
              <w:t xml:space="preserve">: </w:t>
            </w:r>
            <w:r w:rsidR="001C2C83" w:rsidRPr="0061769B">
              <w:rPr>
                <w:rFonts w:ascii="Times New Roman" w:hAnsi="Times New Roman" w:cs="Times New Roman"/>
                <w:sz w:val="20"/>
                <w:szCs w:val="20"/>
              </w:rPr>
              <w:t>where there is a government policy or public finance initiatives to promote or support the sector</w:t>
            </w:r>
          </w:p>
          <w:p w:rsidR="001C2C83" w:rsidRPr="0061769B" w:rsidRDefault="00933A36" w:rsidP="0061769B">
            <w:pPr>
              <w:pStyle w:val="NoSpacing"/>
              <w:rPr>
                <w:rFonts w:ascii="Times New Roman" w:hAnsi="Times New Roman" w:cs="Times New Roman"/>
                <w:sz w:val="20"/>
                <w:szCs w:val="20"/>
              </w:rPr>
            </w:pPr>
            <w:r>
              <w:rPr>
                <w:rFonts w:ascii="Times New Roman" w:hAnsi="Times New Roman" w:cs="Times New Roman"/>
                <w:sz w:val="20"/>
                <w:szCs w:val="20"/>
              </w:rPr>
              <w:t>4</w:t>
            </w:r>
            <w:r w:rsidR="001C2C83" w:rsidRPr="0061769B">
              <w:rPr>
                <w:rFonts w:ascii="Times New Roman" w:hAnsi="Times New Roman" w:cs="Times New Roman"/>
                <w:sz w:val="20"/>
                <w:szCs w:val="20"/>
              </w:rPr>
              <w:t xml:space="preserve"> - Supranational Guarantee/Supported</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where there is an explicit supranational guarantee or support</w:t>
            </w:r>
          </w:p>
          <w:p w:rsidR="001C2C83" w:rsidRPr="0061769B" w:rsidRDefault="00933A36" w:rsidP="0061769B">
            <w:pPr>
              <w:pStyle w:val="NoSpacing"/>
              <w:rPr>
                <w:rFonts w:ascii="Times New Roman" w:hAnsi="Times New Roman" w:cs="Times New Roman"/>
                <w:sz w:val="20"/>
                <w:szCs w:val="20"/>
              </w:rPr>
            </w:pPr>
            <w:r>
              <w:rPr>
                <w:rFonts w:ascii="Times New Roman" w:hAnsi="Times New Roman" w:cs="Times New Roman"/>
                <w:sz w:val="20"/>
                <w:szCs w:val="20"/>
              </w:rPr>
              <w:t>9</w:t>
            </w:r>
            <w:r w:rsidR="001C2C83" w:rsidRPr="0061769B">
              <w:rPr>
                <w:rFonts w:ascii="Times New Roman" w:hAnsi="Times New Roman" w:cs="Times New Roman"/>
                <w:sz w:val="20"/>
                <w:szCs w:val="20"/>
              </w:rPr>
              <w:t xml:space="preserve"> </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Other</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Other infrastructure loans or investments, not classified under the above categories</w:t>
            </w:r>
          </w:p>
          <w:p w:rsidR="001C2C83" w:rsidRPr="006C2F0D" w:rsidRDefault="001C2C83" w:rsidP="0061769B">
            <w:pPr>
              <w:spacing w:after="200" w:line="276" w:lineRule="auto"/>
              <w:rPr>
                <w:rFonts w:ascii="Times New Roman" w:hAnsi="Times New Roman" w:cs="Times New Roman"/>
                <w:sz w:val="20"/>
                <w:szCs w:val="20"/>
              </w:rPr>
            </w:pPr>
          </w:p>
        </w:tc>
      </w:tr>
      <w:tr w:rsidR="001C2C83" w:rsidRPr="006C2F0D" w:rsidTr="00A671EA">
        <w:trPr>
          <w:trHeight w:val="1763"/>
        </w:trPr>
        <w:tc>
          <w:tcPr>
            <w:tcW w:w="1425" w:type="dxa"/>
            <w:hideMark/>
          </w:tcPr>
          <w:p w:rsidR="001C2C83" w:rsidRPr="0061769B" w:rsidRDefault="00335000" w:rsidP="00A671EA">
            <w:pPr>
              <w:pStyle w:val="NoSpacing"/>
              <w:rPr>
                <w:rFonts w:ascii="Times New Roman" w:hAnsi="Times New Roman" w:cs="Times New Roman"/>
                <w:sz w:val="20"/>
                <w:szCs w:val="20"/>
              </w:rPr>
            </w:pPr>
            <w:r>
              <w:rPr>
                <w:rFonts w:ascii="Times New Roman" w:hAnsi="Times New Roman" w:cs="Times New Roman"/>
                <w:sz w:val="20"/>
              </w:rPr>
              <w:t>C0310</w:t>
            </w:r>
          </w:p>
        </w:tc>
        <w:tc>
          <w:tcPr>
            <w:tcW w:w="2327" w:type="dxa"/>
            <w:hideMark/>
          </w:tcPr>
          <w:p w:rsidR="001C2C83" w:rsidRPr="0061769B" w:rsidRDefault="00400984" w:rsidP="00400984">
            <w:pPr>
              <w:spacing w:after="200" w:line="276" w:lineRule="auto"/>
              <w:rPr>
                <w:rFonts w:ascii="Times New Roman" w:hAnsi="Times New Roman" w:cs="Times New Roman"/>
                <w:sz w:val="20"/>
                <w:szCs w:val="20"/>
              </w:rPr>
            </w:pPr>
            <w:r>
              <w:rPr>
                <w:rFonts w:ascii="Times New Roman" w:hAnsi="Times New Roman" w:cs="Times New Roman"/>
                <w:sz w:val="20"/>
                <w:szCs w:val="20"/>
              </w:rPr>
              <w:t>Holdings in r</w:t>
            </w:r>
            <w:r w:rsidR="00EF5482">
              <w:rPr>
                <w:rFonts w:ascii="Times New Roman" w:hAnsi="Times New Roman" w:cs="Times New Roman"/>
                <w:sz w:val="20"/>
                <w:szCs w:val="20"/>
              </w:rPr>
              <w:t>elated undertakings, including p</w:t>
            </w:r>
            <w:r w:rsidR="00EF5482" w:rsidRPr="0061769B">
              <w:rPr>
                <w:rFonts w:ascii="Times New Roman" w:hAnsi="Times New Roman" w:cs="Times New Roman"/>
                <w:sz w:val="20"/>
                <w:szCs w:val="20"/>
              </w:rPr>
              <w:t>articipation</w:t>
            </w:r>
            <w:r w:rsidR="00EF5482">
              <w:rPr>
                <w:rFonts w:ascii="Times New Roman" w:hAnsi="Times New Roman" w:cs="Times New Roman"/>
                <w:sz w:val="20"/>
                <w:szCs w:val="20"/>
              </w:rPr>
              <w:t>s</w:t>
            </w:r>
          </w:p>
        </w:tc>
        <w:tc>
          <w:tcPr>
            <w:tcW w:w="5490" w:type="dxa"/>
            <w:hideMark/>
          </w:tcPr>
          <w:p w:rsidR="00EF5482" w:rsidRDefault="00EF5482" w:rsidP="00EF5482">
            <w:pPr>
              <w:spacing w:after="120" w:line="276" w:lineRule="auto"/>
              <w:rPr>
                <w:rFonts w:ascii="Times New Roman" w:hAnsi="Times New Roman" w:cs="Times New Roman"/>
                <w:sz w:val="20"/>
                <w:szCs w:val="20"/>
              </w:rPr>
            </w:pPr>
            <w:r>
              <w:rPr>
                <w:rFonts w:ascii="Times New Roman" w:hAnsi="Times New Roman" w:cs="Times New Roman"/>
                <w:sz w:val="20"/>
                <w:szCs w:val="20"/>
              </w:rPr>
              <w:t>Only applicable to asset categories</w:t>
            </w:r>
            <w:r w:rsidRPr="0061769B">
              <w:rPr>
                <w:rFonts w:ascii="Times New Roman" w:hAnsi="Times New Roman" w:cs="Times New Roman"/>
                <w:sz w:val="20"/>
                <w:szCs w:val="20"/>
              </w:rPr>
              <w:t xml:space="preserve"> </w:t>
            </w:r>
            <w:r>
              <w:rPr>
                <w:rFonts w:ascii="Times New Roman" w:hAnsi="Times New Roman" w:cs="Times New Roman"/>
                <w:sz w:val="20"/>
                <w:szCs w:val="20"/>
              </w:rPr>
              <w:t>3 and 4</w:t>
            </w:r>
            <w:r w:rsidRPr="0061769B">
              <w:rPr>
                <w:rFonts w:ascii="Times New Roman" w:hAnsi="Times New Roman" w:cs="Times New Roman"/>
                <w:sz w:val="20"/>
                <w:szCs w:val="20"/>
              </w:rPr>
              <w:t>.</w:t>
            </w:r>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w:t>
            </w:r>
            <w:proofErr w:type="gramStart"/>
            <w:r w:rsidRPr="0061769B">
              <w:rPr>
                <w:rFonts w:ascii="Times New Roman" w:hAnsi="Times New Roman" w:cs="Times New Roman"/>
                <w:sz w:val="20"/>
                <w:szCs w:val="20"/>
              </w:rPr>
              <w:t>an equity</w:t>
            </w:r>
            <w:proofErr w:type="gramEnd"/>
            <w:r w:rsidRPr="0061769B">
              <w:rPr>
                <w:rFonts w:ascii="Times New Roman" w:hAnsi="Times New Roman" w:cs="Times New Roman"/>
                <w:sz w:val="20"/>
                <w:szCs w:val="20"/>
              </w:rPr>
              <w:t xml:space="preserve"> and other share is a participation. One of the options in the following closed list shall be used: </w:t>
            </w:r>
          </w:p>
          <w:p w:rsidR="00EF5482" w:rsidRPr="00EE232C" w:rsidRDefault="00EF5482" w:rsidP="00EF5482">
            <w:pPr>
              <w:rPr>
                <w:rFonts w:ascii="Times New Roman" w:hAnsi="Times New Roman" w:cs="Times New Roman"/>
                <w:sz w:val="20"/>
                <w:szCs w:val="20"/>
                <w:lang w:val="en-US"/>
              </w:rPr>
            </w:pPr>
            <w:r w:rsidRPr="00EE232C">
              <w:rPr>
                <w:rFonts w:ascii="Times New Roman" w:hAnsi="Times New Roman" w:cs="Times New Roman"/>
                <w:sz w:val="20"/>
                <w:szCs w:val="20"/>
                <w:lang w:val="en-US"/>
              </w:rPr>
              <w:t>1 - Not a participation</w:t>
            </w:r>
          </w:p>
          <w:p w:rsidR="00EF5482" w:rsidRPr="007363E1" w:rsidRDefault="00EF5482" w:rsidP="00A671EA">
            <w:pPr>
              <w:rPr>
                <w:rFonts w:ascii="Times New Roman" w:hAnsi="Times New Roman" w:cs="Times New Roman"/>
                <w:sz w:val="20"/>
                <w:szCs w:val="20"/>
                <w:lang w:val="en-US"/>
              </w:rPr>
            </w:pPr>
            <w:r w:rsidRPr="00EE232C">
              <w:rPr>
                <w:rFonts w:ascii="Times New Roman" w:hAnsi="Times New Roman" w:cs="Times New Roman"/>
                <w:sz w:val="20"/>
                <w:szCs w:val="20"/>
                <w:lang w:val="en-US"/>
              </w:rPr>
              <w:t>2 - Is a participation</w:t>
            </w:r>
          </w:p>
          <w:p w:rsidR="001C2C83" w:rsidRPr="0061769B" w:rsidRDefault="001C2C83" w:rsidP="0061769B">
            <w:pPr>
              <w:spacing w:line="276" w:lineRule="auto"/>
              <w:rPr>
                <w:rFonts w:ascii="Times New Roman" w:hAnsi="Times New Roman" w:cs="Times New Roman"/>
                <w:sz w:val="20"/>
                <w:szCs w:val="20"/>
              </w:rPr>
            </w:pPr>
          </w:p>
        </w:tc>
      </w:tr>
      <w:tr w:rsidR="001C2C83" w:rsidRPr="006C2F0D" w:rsidTr="009125C3">
        <w:trPr>
          <w:trHeight w:val="855"/>
        </w:trPr>
        <w:tc>
          <w:tcPr>
            <w:tcW w:w="1425" w:type="dxa"/>
            <w:hideMark/>
          </w:tcPr>
          <w:p w:rsidR="001C2C83" w:rsidRPr="0061769B" w:rsidRDefault="00335000" w:rsidP="00A671EA">
            <w:pPr>
              <w:pStyle w:val="NoSpacing"/>
              <w:rPr>
                <w:rFonts w:ascii="Times New Roman" w:hAnsi="Times New Roman" w:cs="Times New Roman"/>
                <w:sz w:val="20"/>
                <w:szCs w:val="20"/>
              </w:rPr>
            </w:pPr>
            <w:r>
              <w:rPr>
                <w:rFonts w:ascii="Times New Roman" w:hAnsi="Times New Roman" w:cs="Times New Roman"/>
                <w:sz w:val="20"/>
              </w:rPr>
              <w:t>C0320</w:t>
            </w:r>
          </w:p>
        </w:tc>
        <w:tc>
          <w:tcPr>
            <w:tcW w:w="2327"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49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Rating of the asset at the reporting reference date issued by the nominated credit assessment institution (ECAI). </w:t>
            </w:r>
          </w:p>
          <w:p w:rsidR="00EF5482" w:rsidRPr="0061769B" w:rsidRDefault="00EF5482"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This item is not applicable to assets for which undertakings using internal models use internal ratings</w:t>
            </w:r>
            <w:r w:rsidRPr="00EF045F">
              <w:rPr>
                <w:rFonts w:ascii="Times New Roman" w:hAnsi="Times New Roman" w:cs="Times New Roman"/>
                <w:sz w:val="20"/>
                <w:szCs w:val="20"/>
              </w:rPr>
              <w:t>.</w:t>
            </w:r>
            <w:r w:rsidRPr="00A671EA">
              <w:rPr>
                <w:rFonts w:ascii="Times New Roman" w:hAnsi="Times New Roman" w:cs="Times New Roman"/>
                <w:sz w:val="20"/>
                <w:szCs w:val="20"/>
              </w:rPr>
              <w:t xml:space="preserve"> </w:t>
            </w:r>
            <w:r w:rsidR="00EF045F" w:rsidRPr="00A671EA">
              <w:rPr>
                <w:rFonts w:ascii="Times New Roman" w:hAnsi="Times New Roman" w:cs="Times New Roman"/>
                <w:sz w:val="20"/>
                <w:szCs w:val="20"/>
              </w:rPr>
              <w:t xml:space="preserve">If undertakings </w:t>
            </w:r>
            <w:r w:rsidR="00EF045F">
              <w:rPr>
                <w:rFonts w:ascii="Times New Roman" w:hAnsi="Times New Roman" w:cs="Times New Roman"/>
                <w:sz w:val="20"/>
                <w:szCs w:val="20"/>
              </w:rPr>
              <w:t>using internal models do not use internal rating, this item shall be reported.</w:t>
            </w:r>
          </w:p>
        </w:tc>
      </w:tr>
      <w:tr w:rsidR="001C2C83" w:rsidRPr="006C2F0D" w:rsidTr="009125C3">
        <w:trPr>
          <w:trHeight w:val="300"/>
        </w:trPr>
        <w:tc>
          <w:tcPr>
            <w:tcW w:w="1425" w:type="dxa"/>
            <w:hideMark/>
          </w:tcPr>
          <w:p w:rsidR="001C2C83" w:rsidRPr="0061769B" w:rsidRDefault="00335000" w:rsidP="00A671EA">
            <w:pPr>
              <w:pStyle w:val="NoSpacing"/>
              <w:rPr>
                <w:rFonts w:ascii="Times New Roman" w:hAnsi="Times New Roman" w:cs="Times New Roman"/>
                <w:sz w:val="20"/>
                <w:szCs w:val="20"/>
              </w:rPr>
            </w:pPr>
            <w:r>
              <w:rPr>
                <w:rFonts w:ascii="Times New Roman" w:hAnsi="Times New Roman" w:cs="Times New Roman"/>
                <w:sz w:val="20"/>
              </w:rPr>
              <w:t>C0330</w:t>
            </w:r>
          </w:p>
        </w:tc>
        <w:tc>
          <w:tcPr>
            <w:tcW w:w="2327"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49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F5482"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assessment institution (ECAI) giving the external rating</w:t>
            </w:r>
            <w:r w:rsidR="00C77564">
              <w:rPr>
                <w:rFonts w:ascii="Times New Roman" w:hAnsi="Times New Roman" w:cs="Times New Roman"/>
                <w:sz w:val="20"/>
                <w:szCs w:val="20"/>
              </w:rPr>
              <w:t>, by using the name of the ECAI as published at ESMA website</w:t>
            </w:r>
            <w:r w:rsidRPr="0061769B">
              <w:rPr>
                <w:rFonts w:ascii="Times New Roman" w:hAnsi="Times New Roman" w:cs="Times New Roman"/>
                <w:sz w:val="20"/>
                <w:szCs w:val="20"/>
              </w:rPr>
              <w:t>.</w:t>
            </w:r>
          </w:p>
          <w:p w:rsidR="001C2C83" w:rsidRPr="0061769B" w:rsidRDefault="00EF045F"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shall be reported </w:t>
            </w:r>
            <w:r w:rsidR="00F80231">
              <w:rPr>
                <w:rFonts w:ascii="Times New Roman" w:hAnsi="Times New Roman" w:cs="Times New Roman"/>
                <w:sz w:val="20"/>
                <w:szCs w:val="20"/>
              </w:rPr>
              <w:t>when External rating (C0320) is reported.</w:t>
            </w:r>
          </w:p>
        </w:tc>
      </w:tr>
      <w:tr w:rsidR="001C2C83" w:rsidRPr="006C2F0D" w:rsidTr="009125C3">
        <w:trPr>
          <w:trHeight w:val="557"/>
        </w:trPr>
        <w:tc>
          <w:tcPr>
            <w:tcW w:w="1425" w:type="dxa"/>
          </w:tcPr>
          <w:p w:rsidR="001C2C83" w:rsidRPr="0061769B" w:rsidRDefault="00335000"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C0340</w:t>
            </w:r>
          </w:p>
        </w:tc>
        <w:tc>
          <w:tcPr>
            <w:tcW w:w="2327" w:type="dxa"/>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490" w:type="dxa"/>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F5482"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quality step attributed to the asset</w:t>
            </w:r>
            <w:r w:rsidR="00EF5482">
              <w:rPr>
                <w:rFonts w:ascii="Times New Roman" w:hAnsi="Times New Roman" w:cs="Times New Roman"/>
                <w:sz w:val="20"/>
                <w:szCs w:val="20"/>
              </w:rPr>
              <w:t xml:space="preserve">, as defined by article </w:t>
            </w:r>
            <w:proofErr w:type="gramStart"/>
            <w:r w:rsidR="00EF5482">
              <w:rPr>
                <w:rFonts w:ascii="Times New Roman" w:hAnsi="Times New Roman" w:cs="Times New Roman"/>
                <w:sz w:val="20"/>
                <w:szCs w:val="20"/>
              </w:rPr>
              <w:t>109a(</w:t>
            </w:r>
            <w:proofErr w:type="gramEnd"/>
            <w:r w:rsidR="00EF5482">
              <w:rPr>
                <w:rFonts w:ascii="Times New Roman" w:hAnsi="Times New Roman" w:cs="Times New Roman"/>
                <w:sz w:val="20"/>
                <w:szCs w:val="20"/>
              </w:rPr>
              <w:t>1) of Directive 2009/138/EC</w:t>
            </w:r>
            <w:r w:rsidR="00EF5482" w:rsidRPr="0061769B">
              <w:rPr>
                <w:rFonts w:ascii="Times New Roman" w:hAnsi="Times New Roman" w:cs="Times New Roman"/>
                <w:sz w:val="20"/>
                <w:szCs w:val="20"/>
              </w:rPr>
              <w:t>.</w:t>
            </w:r>
          </w:p>
          <w:p w:rsidR="00EF5482"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w:t>
            </w:r>
            <w:r w:rsidR="00EF5482">
              <w:rPr>
                <w:rFonts w:ascii="Times New Roman" w:hAnsi="Times New Roman" w:cs="Times New Roman"/>
                <w:sz w:val="20"/>
                <w:szCs w:val="20"/>
              </w:rPr>
              <w:t xml:space="preserve">in particular </w:t>
            </w:r>
            <w:r w:rsidRPr="0061769B">
              <w:rPr>
                <w:rFonts w:ascii="Times New Roman" w:hAnsi="Times New Roman" w:cs="Times New Roman"/>
                <w:sz w:val="20"/>
                <w:szCs w:val="20"/>
              </w:rPr>
              <w:t>reflect any readjustments to the credit quality made internally by the undertaking</w:t>
            </w:r>
            <w:r>
              <w:rPr>
                <w:rFonts w:ascii="Times New Roman" w:hAnsi="Times New Roman" w:cs="Times New Roman"/>
                <w:sz w:val="20"/>
                <w:szCs w:val="20"/>
              </w:rPr>
              <w:t>s that use the standard formula</w:t>
            </w:r>
            <w:r w:rsidRPr="0061769B">
              <w:rPr>
                <w:rFonts w:ascii="Times New Roman" w:hAnsi="Times New Roman" w:cs="Times New Roman"/>
                <w:sz w:val="20"/>
                <w:szCs w:val="20"/>
              </w:rPr>
              <w:t>.</w:t>
            </w:r>
          </w:p>
          <w:p w:rsidR="00EF5482" w:rsidRDefault="00EF5482"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This item is not applicable to assets for which undertakings using internal models use internal ratings</w:t>
            </w:r>
            <w:r w:rsidR="00F80231">
              <w:rPr>
                <w:rFonts w:ascii="Times New Roman" w:hAnsi="Times New Roman" w:cs="Times New Roman"/>
                <w:sz w:val="20"/>
                <w:szCs w:val="20"/>
              </w:rPr>
              <w:t xml:space="preserve">. </w:t>
            </w:r>
            <w:r w:rsidR="00F80231" w:rsidRPr="00DF47F6">
              <w:rPr>
                <w:rFonts w:ascii="Times New Roman" w:hAnsi="Times New Roman" w:cs="Times New Roman"/>
                <w:sz w:val="20"/>
                <w:szCs w:val="20"/>
              </w:rPr>
              <w:t xml:space="preserve">If undertakings </w:t>
            </w:r>
            <w:r w:rsidR="00F80231">
              <w:rPr>
                <w:rFonts w:ascii="Times New Roman" w:hAnsi="Times New Roman" w:cs="Times New Roman"/>
                <w:sz w:val="20"/>
                <w:szCs w:val="20"/>
              </w:rPr>
              <w:t>using internal models do not use internal rating, this item shall be reported.</w:t>
            </w:r>
          </w:p>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C2C83" w:rsidRPr="00A66369" w:rsidRDefault="00EF5482" w:rsidP="0061769B">
            <w:pPr>
              <w:rPr>
                <w:rFonts w:ascii="Times New Roman" w:hAnsi="Times New Roman" w:cs="Times New Roman"/>
                <w:sz w:val="20"/>
                <w:szCs w:val="20"/>
              </w:rPr>
            </w:pPr>
            <w:r>
              <w:rPr>
                <w:rFonts w:ascii="Times New Roman" w:hAnsi="Times New Roman" w:cs="Times New Roman"/>
                <w:sz w:val="20"/>
                <w:szCs w:val="20"/>
              </w:rPr>
              <w:t>0</w:t>
            </w:r>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0</w:t>
            </w:r>
          </w:p>
          <w:p w:rsidR="001C2C83" w:rsidRPr="00A66369" w:rsidRDefault="00EF5482" w:rsidP="0061769B">
            <w:pPr>
              <w:rPr>
                <w:rFonts w:ascii="Times New Roman" w:hAnsi="Times New Roman" w:cs="Times New Roman"/>
                <w:sz w:val="20"/>
                <w:szCs w:val="20"/>
              </w:rPr>
            </w:pPr>
            <w:r>
              <w:rPr>
                <w:rFonts w:ascii="Times New Roman" w:hAnsi="Times New Roman" w:cs="Times New Roman"/>
                <w:sz w:val="20"/>
                <w:szCs w:val="20"/>
              </w:rPr>
              <w:t>1</w:t>
            </w:r>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1</w:t>
            </w:r>
          </w:p>
          <w:p w:rsidR="001C2C83" w:rsidRPr="00A66369" w:rsidRDefault="00EF5482" w:rsidP="0061769B">
            <w:pPr>
              <w:rPr>
                <w:rFonts w:ascii="Times New Roman" w:hAnsi="Times New Roman" w:cs="Times New Roman"/>
                <w:sz w:val="20"/>
                <w:szCs w:val="20"/>
              </w:rPr>
            </w:pPr>
            <w:r>
              <w:rPr>
                <w:rFonts w:ascii="Times New Roman" w:hAnsi="Times New Roman" w:cs="Times New Roman"/>
                <w:sz w:val="20"/>
                <w:szCs w:val="20"/>
              </w:rPr>
              <w:t>2</w:t>
            </w:r>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2</w:t>
            </w:r>
          </w:p>
          <w:p w:rsidR="001C2C83" w:rsidRPr="00A66369" w:rsidRDefault="00EF5482" w:rsidP="0061769B">
            <w:pPr>
              <w:rPr>
                <w:rFonts w:ascii="Times New Roman" w:hAnsi="Times New Roman" w:cs="Times New Roman"/>
                <w:sz w:val="20"/>
                <w:szCs w:val="20"/>
              </w:rPr>
            </w:pPr>
            <w:r>
              <w:rPr>
                <w:rFonts w:ascii="Times New Roman" w:hAnsi="Times New Roman" w:cs="Times New Roman"/>
                <w:sz w:val="20"/>
                <w:szCs w:val="20"/>
              </w:rPr>
              <w:t>3</w:t>
            </w:r>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3</w:t>
            </w:r>
          </w:p>
          <w:p w:rsidR="001C2C83" w:rsidRPr="00A66369" w:rsidRDefault="00EF5482" w:rsidP="0061769B">
            <w:pPr>
              <w:rPr>
                <w:rFonts w:ascii="Times New Roman" w:hAnsi="Times New Roman" w:cs="Times New Roman"/>
                <w:sz w:val="20"/>
                <w:szCs w:val="20"/>
              </w:rPr>
            </w:pPr>
            <w:r>
              <w:rPr>
                <w:rFonts w:ascii="Times New Roman" w:hAnsi="Times New Roman" w:cs="Times New Roman"/>
                <w:sz w:val="20"/>
                <w:szCs w:val="20"/>
              </w:rPr>
              <w:t>4</w:t>
            </w:r>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4</w:t>
            </w:r>
          </w:p>
          <w:p w:rsidR="001C2C83" w:rsidRPr="00A66369" w:rsidRDefault="00EF5482" w:rsidP="0061769B">
            <w:pPr>
              <w:rPr>
                <w:rFonts w:ascii="Times New Roman" w:hAnsi="Times New Roman" w:cs="Times New Roman"/>
                <w:sz w:val="20"/>
                <w:szCs w:val="20"/>
              </w:rPr>
            </w:pPr>
            <w:r>
              <w:rPr>
                <w:rFonts w:ascii="Times New Roman" w:hAnsi="Times New Roman" w:cs="Times New Roman"/>
                <w:sz w:val="20"/>
                <w:szCs w:val="20"/>
              </w:rPr>
              <w:t>5</w:t>
            </w:r>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5</w:t>
            </w:r>
          </w:p>
          <w:p w:rsidR="001C2C83" w:rsidRDefault="00EF5482" w:rsidP="0061769B">
            <w:pPr>
              <w:rPr>
                <w:rFonts w:ascii="Times New Roman" w:hAnsi="Times New Roman" w:cs="Times New Roman"/>
                <w:sz w:val="20"/>
                <w:szCs w:val="20"/>
              </w:rPr>
            </w:pPr>
            <w:r>
              <w:rPr>
                <w:rFonts w:ascii="Times New Roman" w:hAnsi="Times New Roman" w:cs="Times New Roman"/>
                <w:sz w:val="20"/>
                <w:szCs w:val="20"/>
              </w:rPr>
              <w:t>6</w:t>
            </w:r>
            <w:r w:rsidR="001C2C83" w:rsidRPr="0061769B">
              <w:rPr>
                <w:rFonts w:ascii="Times New Roman" w:hAnsi="Times New Roman" w:cs="Times New Roman"/>
                <w:sz w:val="20"/>
                <w:szCs w:val="20"/>
              </w:rPr>
              <w:t xml:space="preserve"> - Credit quality step 6</w:t>
            </w:r>
          </w:p>
          <w:p w:rsidR="001E0962" w:rsidRPr="006C2F0D" w:rsidRDefault="00F80231" w:rsidP="0061769B">
            <w:r>
              <w:rPr>
                <w:rFonts w:ascii="Times New Roman" w:hAnsi="Times New Roman" w:cs="Times New Roman"/>
                <w:sz w:val="20"/>
                <w:szCs w:val="20"/>
              </w:rPr>
              <w:t>9</w:t>
            </w:r>
            <w:r w:rsidR="001E0962">
              <w:rPr>
                <w:rFonts w:ascii="Times New Roman" w:hAnsi="Times New Roman" w:cs="Times New Roman"/>
                <w:sz w:val="20"/>
                <w:szCs w:val="20"/>
              </w:rPr>
              <w:t xml:space="preserve"> </w:t>
            </w:r>
            <w:r w:rsidR="00A671EA" w:rsidRPr="0061769B">
              <w:rPr>
                <w:rFonts w:ascii="Times New Roman" w:hAnsi="Times New Roman" w:cs="Times New Roman"/>
                <w:sz w:val="20"/>
                <w:szCs w:val="20"/>
              </w:rPr>
              <w:t>-</w:t>
            </w:r>
            <w:r w:rsidR="001E0962">
              <w:rPr>
                <w:rFonts w:ascii="Times New Roman" w:hAnsi="Times New Roman" w:cs="Times New Roman"/>
                <w:sz w:val="20"/>
                <w:szCs w:val="20"/>
              </w:rPr>
              <w:t xml:space="preserve"> No rating available</w:t>
            </w:r>
          </w:p>
        </w:tc>
      </w:tr>
      <w:tr w:rsidR="001C2C83" w:rsidRPr="002C41CC" w:rsidTr="009125C3">
        <w:trPr>
          <w:trHeight w:val="1124"/>
        </w:trPr>
        <w:tc>
          <w:tcPr>
            <w:tcW w:w="1425" w:type="dxa"/>
            <w:tcBorders>
              <w:bottom w:val="single" w:sz="4" w:space="0" w:color="auto"/>
            </w:tcBorders>
          </w:tcPr>
          <w:p w:rsidR="001C2C83" w:rsidRPr="002C41CC" w:rsidRDefault="00335000" w:rsidP="0061769B">
            <w:pPr>
              <w:pStyle w:val="NoSpacing"/>
              <w:rPr>
                <w:rFonts w:ascii="Times New Roman" w:hAnsi="Times New Roman" w:cs="Times New Roman"/>
                <w:sz w:val="20"/>
              </w:rPr>
            </w:pPr>
            <w:r>
              <w:rPr>
                <w:rFonts w:ascii="Times New Roman" w:hAnsi="Times New Roman" w:cs="Times New Roman"/>
                <w:sz w:val="20"/>
              </w:rPr>
              <w:t>C0350</w:t>
            </w:r>
          </w:p>
        </w:tc>
        <w:tc>
          <w:tcPr>
            <w:tcW w:w="2327" w:type="dxa"/>
            <w:tcBorders>
              <w:bottom w:val="single" w:sz="4" w:space="0" w:color="auto"/>
            </w:tcBorders>
          </w:tcPr>
          <w:p w:rsidR="001C2C83" w:rsidRPr="002C41CC" w:rsidRDefault="001C2C83" w:rsidP="0061769B">
            <w:pPr>
              <w:pStyle w:val="NoSpacing"/>
              <w:rPr>
                <w:rFonts w:ascii="Times New Roman" w:hAnsi="Times New Roman" w:cs="Times New Roman"/>
                <w:sz w:val="20"/>
              </w:rPr>
            </w:pPr>
            <w:r w:rsidRPr="002C41CC">
              <w:rPr>
                <w:rFonts w:ascii="Times New Roman" w:hAnsi="Times New Roman" w:cs="Times New Roman"/>
                <w:sz w:val="20"/>
              </w:rPr>
              <w:t>Internal rating</w:t>
            </w:r>
          </w:p>
        </w:tc>
        <w:tc>
          <w:tcPr>
            <w:tcW w:w="5490" w:type="dxa"/>
            <w:tcBorders>
              <w:bottom w:val="single" w:sz="4" w:space="0" w:color="auto"/>
            </w:tcBorders>
          </w:tcPr>
          <w:p w:rsidR="00FF3AE7" w:rsidRDefault="00FF3AE7" w:rsidP="00FF3AE7">
            <w:pPr>
              <w:pStyle w:val="NoSpacing"/>
              <w:rPr>
                <w:rFonts w:ascii="Times New Roman" w:hAnsi="Times New Roman" w:cs="Times New Roman"/>
                <w:sz w:val="20"/>
              </w:rPr>
            </w:pPr>
            <w:r w:rsidRPr="0061769B">
              <w:rPr>
                <w:rFonts w:ascii="Times New Roman" w:hAnsi="Times New Roman" w:cs="Times New Roman"/>
                <w:sz w:val="20"/>
                <w:szCs w:val="20"/>
              </w:rPr>
              <w:t>Only applicable to CIC categories 1, 2, 5 and 6.</w:t>
            </w:r>
          </w:p>
          <w:p w:rsidR="00FF3AE7" w:rsidRDefault="00FF3AE7" w:rsidP="00FF3AE7">
            <w:pPr>
              <w:pStyle w:val="NoSpacing"/>
              <w:rPr>
                <w:rFonts w:ascii="Times New Roman" w:hAnsi="Times New Roman" w:cs="Times New Roman"/>
                <w:sz w:val="20"/>
              </w:rPr>
            </w:pPr>
          </w:p>
          <w:p w:rsidR="001C2C83" w:rsidRPr="002C41CC" w:rsidRDefault="001C2C83" w:rsidP="0061769B">
            <w:pPr>
              <w:pStyle w:val="NoSpacing"/>
              <w:rPr>
                <w:rFonts w:ascii="Times New Roman" w:hAnsi="Times New Roman" w:cs="Times New Roman"/>
                <w:sz w:val="20"/>
              </w:rPr>
            </w:pPr>
            <w:r w:rsidRPr="0061769B">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61769B">
              <w:rPr>
                <w:rFonts w:ascii="Times New Roman" w:hAnsi="Times New Roman" w:cs="Times New Roman"/>
                <w:sz w:val="20"/>
              </w:rPr>
              <w:t>using</w:t>
            </w:r>
            <w:r>
              <w:rPr>
                <w:rFonts w:ascii="Times New Roman" w:hAnsi="Times New Roman" w:cs="Times New Roman"/>
                <w:sz w:val="20"/>
              </w:rPr>
              <w:t xml:space="preserve"> an</w:t>
            </w:r>
            <w:r w:rsidRPr="0061769B">
              <w:rPr>
                <w:rFonts w:ascii="Times New Roman" w:hAnsi="Times New Roman" w:cs="Times New Roman"/>
                <w:sz w:val="20"/>
              </w:rPr>
              <w:t xml:space="preserve"> internal model to the extent that the internal ratings are used in their internal modelling. </w:t>
            </w:r>
            <w:r>
              <w:rPr>
                <w:rFonts w:ascii="Times New Roman" w:hAnsi="Times New Roman" w:cs="Times New Roman"/>
                <w:sz w:val="20"/>
              </w:rPr>
              <w:t>I</w:t>
            </w:r>
            <w:r w:rsidRPr="0061769B">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61769B">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61769B">
              <w:rPr>
                <w:rFonts w:ascii="Times New Roman" w:hAnsi="Times New Roman" w:cs="Times New Roman"/>
                <w:sz w:val="20"/>
              </w:rPr>
              <w:t xml:space="preserve">. </w:t>
            </w:r>
          </w:p>
        </w:tc>
      </w:tr>
      <w:tr w:rsidR="00DE548D" w:rsidRPr="006C2F0D" w:rsidTr="009125C3">
        <w:trPr>
          <w:trHeight w:val="1684"/>
        </w:trPr>
        <w:tc>
          <w:tcPr>
            <w:tcW w:w="1425" w:type="dxa"/>
            <w:tcBorders>
              <w:bottom w:val="single" w:sz="4" w:space="0" w:color="auto"/>
            </w:tcBorders>
            <w:hideMark/>
          </w:tcPr>
          <w:p w:rsidR="00DE548D" w:rsidRPr="00566107" w:rsidRDefault="00DE548D" w:rsidP="00A671EA">
            <w:pPr>
              <w:pStyle w:val="NoSpacing"/>
              <w:rPr>
                <w:rFonts w:ascii="Times New Roman" w:hAnsi="Times New Roman" w:cs="Times New Roman"/>
                <w:sz w:val="20"/>
                <w:szCs w:val="20"/>
              </w:rPr>
            </w:pPr>
            <w:r w:rsidRPr="00A157FB">
              <w:rPr>
                <w:rFonts w:ascii="Times New Roman" w:hAnsi="Times New Roman" w:cs="Times New Roman"/>
                <w:sz w:val="20"/>
              </w:rPr>
              <w:t>C0</w:t>
            </w:r>
            <w:r>
              <w:rPr>
                <w:rFonts w:ascii="Times New Roman" w:hAnsi="Times New Roman" w:cs="Times New Roman"/>
                <w:sz w:val="20"/>
              </w:rPr>
              <w:t>3</w:t>
            </w:r>
            <w:r w:rsidR="00335000">
              <w:rPr>
                <w:rFonts w:ascii="Times New Roman" w:hAnsi="Times New Roman" w:cs="Times New Roman"/>
                <w:sz w:val="20"/>
              </w:rPr>
              <w:t>6</w:t>
            </w:r>
            <w:r w:rsidRPr="00A157FB">
              <w:rPr>
                <w:rFonts w:ascii="Times New Roman" w:hAnsi="Times New Roman" w:cs="Times New Roman"/>
                <w:sz w:val="20"/>
              </w:rPr>
              <w:t>0</w:t>
            </w:r>
          </w:p>
        </w:tc>
        <w:tc>
          <w:tcPr>
            <w:tcW w:w="2327"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Duration</w:t>
            </w:r>
          </w:p>
        </w:tc>
        <w:tc>
          <w:tcPr>
            <w:tcW w:w="5490"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Only applies to CIC categories 1, 2, 4 (when applicable, e.g. for collective investment undertaking mainly invested in bonds), 5 and 6.</w:t>
            </w:r>
          </w:p>
          <w:p w:rsidR="00DE548D" w:rsidRPr="00566107" w:rsidRDefault="00DE548D" w:rsidP="001D6E7B">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duration, defined as the ’residual modified duration’</w:t>
            </w:r>
            <w:r w:rsidR="001D6E7B" w:rsidRPr="00A671EA">
              <w:rPr>
                <w:rFonts w:ascii="Times New Roman" w:hAnsi="Times New Roman" w:cs="Times New Roman"/>
                <w:sz w:val="20"/>
                <w:szCs w:val="20"/>
              </w:rPr>
              <w:t xml:space="preserve"> (modified duration calculated based on the remaining time for maturity of the security, counted from the reporting reference date)</w:t>
            </w:r>
            <w:r w:rsidRPr="00566107">
              <w:rPr>
                <w:rFonts w:ascii="Times New Roman" w:hAnsi="Times New Roman" w:cs="Times New Roman"/>
                <w:sz w:val="20"/>
                <w:szCs w:val="20"/>
              </w:rPr>
              <w:t>. For assets without fixed maturity the first call date shall be used. The duration shall be calculated based on economic value.</w:t>
            </w:r>
          </w:p>
        </w:tc>
      </w:tr>
      <w:tr w:rsidR="001C2C83" w:rsidRPr="006C2F0D" w:rsidTr="00A671EA">
        <w:trPr>
          <w:trHeight w:val="629"/>
        </w:trPr>
        <w:tc>
          <w:tcPr>
            <w:tcW w:w="1425" w:type="dxa"/>
            <w:tcBorders>
              <w:bottom w:val="single" w:sz="4" w:space="0" w:color="auto"/>
            </w:tcBorders>
          </w:tcPr>
          <w:p w:rsidR="001C2C83" w:rsidRPr="00A157FB" w:rsidRDefault="001C2C83" w:rsidP="00A671EA">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7</w:t>
            </w:r>
            <w:r>
              <w:rPr>
                <w:rFonts w:ascii="Times New Roman" w:hAnsi="Times New Roman" w:cs="Times New Roman"/>
                <w:sz w:val="20"/>
                <w:szCs w:val="20"/>
              </w:rPr>
              <w:t>0</w:t>
            </w:r>
          </w:p>
        </w:tc>
        <w:tc>
          <w:tcPr>
            <w:tcW w:w="2327"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490"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w:t>
            </w:r>
            <w:r w:rsidR="001A743E">
              <w:rPr>
                <w:rFonts w:ascii="Times New Roman" w:hAnsi="Times New Roman" w:cs="Times New Roman"/>
                <w:sz w:val="20"/>
                <w:szCs w:val="20"/>
              </w:rPr>
              <w:t xml:space="preserve">reporting </w:t>
            </w:r>
            <w:r w:rsidRPr="0061769B">
              <w:rPr>
                <w:rFonts w:ascii="Times New Roman" w:hAnsi="Times New Roman" w:cs="Times New Roman"/>
                <w:sz w:val="20"/>
                <w:szCs w:val="20"/>
              </w:rPr>
              <w:t>currency for</w:t>
            </w:r>
            <w:r w:rsidR="00EF5482">
              <w:rPr>
                <w:rFonts w:ascii="Times New Roman" w:hAnsi="Times New Roman" w:cs="Times New Roman"/>
                <w:sz w:val="20"/>
                <w:szCs w:val="20"/>
              </w:rPr>
              <w:t xml:space="preserve"> the</w:t>
            </w:r>
            <w:r w:rsidRPr="0061769B">
              <w:rPr>
                <w:rFonts w:ascii="Times New Roman" w:hAnsi="Times New Roman" w:cs="Times New Roman"/>
                <w:sz w:val="20"/>
                <w:szCs w:val="20"/>
              </w:rPr>
              <w:t xml:space="preserve"> asset</w:t>
            </w:r>
            <w:r w:rsidR="00EF5482">
              <w:rPr>
                <w:rFonts w:ascii="Times New Roman" w:hAnsi="Times New Roman" w:cs="Times New Roman"/>
                <w:sz w:val="20"/>
                <w:szCs w:val="20"/>
              </w:rPr>
              <w:t>, if relevant</w:t>
            </w:r>
            <w:r w:rsidRPr="0061769B">
              <w:rPr>
                <w:rFonts w:ascii="Times New Roman" w:hAnsi="Times New Roman" w:cs="Times New Roman"/>
                <w:sz w:val="20"/>
                <w:szCs w:val="20"/>
              </w:rPr>
              <w:t>.</w:t>
            </w:r>
          </w:p>
          <w:p w:rsidR="001A743E" w:rsidRDefault="001A743E" w:rsidP="00F91169">
            <w:pPr>
              <w:spacing w:after="200" w:line="276" w:lineRule="auto"/>
              <w:rPr>
                <w:rFonts w:ascii="Times New Roman" w:hAnsi="Times New Roman" w:cs="Times New Roman"/>
                <w:sz w:val="20"/>
                <w:szCs w:val="20"/>
              </w:rPr>
            </w:pPr>
            <w:r>
              <w:rPr>
                <w:rFonts w:ascii="Times New Roman" w:hAnsi="Times New Roman" w:cs="Times New Roman"/>
                <w:sz w:val="20"/>
                <w:szCs w:val="20"/>
              </w:rPr>
              <w:t>T</w:t>
            </w:r>
            <w:r w:rsidRPr="001A743E">
              <w:rPr>
                <w:rFonts w:ascii="Times New Roman" w:hAnsi="Times New Roman" w:cs="Times New Roman"/>
                <w:sz w:val="20"/>
                <w:szCs w:val="20"/>
              </w:rPr>
              <w:t xml:space="preserve">his </w:t>
            </w:r>
            <w:r>
              <w:rPr>
                <w:rFonts w:ascii="Times New Roman" w:hAnsi="Times New Roman" w:cs="Times New Roman"/>
                <w:sz w:val="20"/>
                <w:szCs w:val="20"/>
              </w:rPr>
              <w:t>item</w:t>
            </w:r>
            <w:r w:rsidRPr="001A743E">
              <w:rPr>
                <w:rFonts w:ascii="Times New Roman" w:hAnsi="Times New Roman" w:cs="Times New Roman"/>
                <w:sz w:val="20"/>
                <w:szCs w:val="20"/>
              </w:rPr>
              <w:t xml:space="preserve"> </w:t>
            </w:r>
            <w:r>
              <w:rPr>
                <w:rFonts w:ascii="Times New Roman" w:hAnsi="Times New Roman" w:cs="Times New Roman"/>
                <w:sz w:val="20"/>
                <w:szCs w:val="20"/>
              </w:rPr>
              <w:t>shall</w:t>
            </w:r>
            <w:r w:rsidRPr="001A743E">
              <w:rPr>
                <w:rFonts w:ascii="Times New Roman" w:hAnsi="Times New Roman" w:cs="Times New Roman"/>
                <w:sz w:val="20"/>
                <w:szCs w:val="20"/>
              </w:rPr>
              <w:t xml:space="preserve"> be </w:t>
            </w:r>
            <w:r>
              <w:rPr>
                <w:rFonts w:ascii="Times New Roman" w:hAnsi="Times New Roman" w:cs="Times New Roman"/>
                <w:sz w:val="20"/>
                <w:szCs w:val="20"/>
              </w:rPr>
              <w:t>reported</w:t>
            </w:r>
            <w:r w:rsidRPr="001A743E">
              <w:rPr>
                <w:rFonts w:ascii="Times New Roman" w:hAnsi="Times New Roman" w:cs="Times New Roman"/>
                <w:sz w:val="20"/>
                <w:szCs w:val="20"/>
              </w:rPr>
              <w:t xml:space="preserve"> if a "quantity" (C0130) has been provided in the first part of the template ("Information on positions held").</w:t>
            </w:r>
          </w:p>
          <w:p w:rsidR="001C2C83" w:rsidRPr="006C2F0D" w:rsidRDefault="00EF5482" w:rsidP="00F91169">
            <w:pPr>
              <w:spacing w:after="200" w:line="276" w:lineRule="auto"/>
              <w:rPr>
                <w:rFonts w:ascii="Times New Roman" w:hAnsi="Times New Roman" w:cs="Times New Roman"/>
                <w:sz w:val="20"/>
                <w:szCs w:val="20"/>
              </w:rPr>
            </w:pPr>
            <w:r w:rsidRPr="00EF5482">
              <w:rPr>
                <w:rFonts w:ascii="Times New Roman" w:hAnsi="Times New Roman" w:cs="Times New Roman"/>
                <w:sz w:val="20"/>
                <w:szCs w:val="20"/>
              </w:rPr>
              <w:t xml:space="preserve">This item shall not be reported if item Unit percentage of </w:t>
            </w:r>
            <w:proofErr w:type="spellStart"/>
            <w:r w:rsidRPr="00EF5482">
              <w:rPr>
                <w:rFonts w:ascii="Times New Roman" w:hAnsi="Times New Roman" w:cs="Times New Roman"/>
                <w:sz w:val="20"/>
                <w:szCs w:val="20"/>
              </w:rPr>
              <w:t>par amount</w:t>
            </w:r>
            <w:proofErr w:type="spellEnd"/>
            <w:r w:rsidRPr="00EF5482">
              <w:rPr>
                <w:rFonts w:ascii="Times New Roman" w:hAnsi="Times New Roman" w:cs="Times New Roman"/>
                <w:sz w:val="20"/>
                <w:szCs w:val="20"/>
              </w:rPr>
              <w:t xml:space="preserve"> Solvency II price</w:t>
            </w:r>
            <w:r w:rsidRPr="00EF5482" w:rsidDel="00B13507">
              <w:rPr>
                <w:rFonts w:ascii="Times New Roman" w:hAnsi="Times New Roman" w:cs="Times New Roman"/>
                <w:sz w:val="20"/>
                <w:szCs w:val="20"/>
              </w:rPr>
              <w:t xml:space="preserve"> </w:t>
            </w:r>
            <w:r w:rsidR="00C633AE">
              <w:rPr>
                <w:rFonts w:ascii="Times New Roman" w:hAnsi="Times New Roman" w:cs="Times New Roman"/>
                <w:sz w:val="20"/>
                <w:szCs w:val="20"/>
              </w:rPr>
              <w:t xml:space="preserve">(C0380) </w:t>
            </w:r>
            <w:r w:rsidRPr="00EF5482">
              <w:rPr>
                <w:rFonts w:ascii="Times New Roman" w:hAnsi="Times New Roman" w:cs="Times New Roman"/>
                <w:sz w:val="20"/>
                <w:szCs w:val="20"/>
              </w:rPr>
              <w:t>is reported.</w:t>
            </w:r>
          </w:p>
        </w:tc>
      </w:tr>
      <w:tr w:rsidR="001C2C83" w:rsidRPr="006C2F0D" w:rsidTr="00A671EA">
        <w:trPr>
          <w:trHeight w:val="1439"/>
        </w:trPr>
        <w:tc>
          <w:tcPr>
            <w:tcW w:w="1425" w:type="dxa"/>
            <w:tcBorders>
              <w:bottom w:val="single" w:sz="4" w:space="0" w:color="auto"/>
            </w:tcBorders>
          </w:tcPr>
          <w:p w:rsidR="001C2C83" w:rsidRDefault="001C2C83" w:rsidP="00A671EA">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8</w:t>
            </w:r>
            <w:r>
              <w:rPr>
                <w:rFonts w:ascii="Times New Roman" w:hAnsi="Times New Roman" w:cs="Times New Roman"/>
                <w:sz w:val="20"/>
                <w:szCs w:val="20"/>
              </w:rPr>
              <w:t>0</w:t>
            </w:r>
          </w:p>
        </w:tc>
        <w:tc>
          <w:tcPr>
            <w:tcW w:w="2327"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bookmarkStart w:id="0" w:name="_GoBack"/>
            <w:proofErr w:type="spellStart"/>
            <w:r w:rsidRPr="0061769B">
              <w:rPr>
                <w:rFonts w:ascii="Times New Roman" w:hAnsi="Times New Roman" w:cs="Times New Roman"/>
                <w:sz w:val="20"/>
                <w:szCs w:val="20"/>
              </w:rPr>
              <w:t>par am</w:t>
            </w:r>
            <w:bookmarkEnd w:id="0"/>
            <w:r w:rsidRPr="0061769B">
              <w:rPr>
                <w:rFonts w:ascii="Times New Roman" w:hAnsi="Times New Roman" w:cs="Times New Roman"/>
                <w:sz w:val="20"/>
                <w:szCs w:val="20"/>
              </w:rPr>
              <w:t>ount</w:t>
            </w:r>
            <w:proofErr w:type="spellEnd"/>
            <w:r w:rsidRPr="0061769B">
              <w:rPr>
                <w:rFonts w:ascii="Times New Roman" w:hAnsi="Times New Roman" w:cs="Times New Roman"/>
                <w:sz w:val="20"/>
                <w:szCs w:val="20"/>
              </w:rPr>
              <w:t xml:space="preserve"> Solvency II price</w:t>
            </w:r>
          </w:p>
        </w:tc>
        <w:tc>
          <w:tcPr>
            <w:tcW w:w="5490"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r w:rsidR="00EF5482">
              <w:rPr>
                <w:rFonts w:ascii="Times New Roman" w:hAnsi="Times New Roman" w:cs="Times New Roman"/>
                <w:sz w:val="20"/>
                <w:szCs w:val="20"/>
              </w:rPr>
              <w:t xml:space="preserve">the </w:t>
            </w:r>
            <w:r w:rsidRPr="0061769B">
              <w:rPr>
                <w:rFonts w:ascii="Times New Roman" w:hAnsi="Times New Roman" w:cs="Times New Roman"/>
                <w:sz w:val="20"/>
                <w:szCs w:val="20"/>
              </w:rPr>
              <w:t>asset</w:t>
            </w:r>
            <w:r w:rsidR="00EF5482">
              <w:rPr>
                <w:rFonts w:ascii="Times New Roman" w:hAnsi="Times New Roman" w:cs="Times New Roman"/>
                <w:sz w:val="20"/>
                <w:szCs w:val="20"/>
              </w:rPr>
              <w:t>, if relevant</w:t>
            </w:r>
            <w:r w:rsidRPr="0061769B">
              <w:rPr>
                <w:rFonts w:ascii="Times New Roman" w:hAnsi="Times New Roman" w:cs="Times New Roman"/>
                <w:sz w:val="20"/>
                <w:szCs w:val="20"/>
              </w:rPr>
              <w:t>.</w:t>
            </w:r>
          </w:p>
          <w:p w:rsidR="004433E7" w:rsidRDefault="004433E7">
            <w:pPr>
              <w:spacing w:after="200" w:line="276" w:lineRule="auto"/>
              <w:rPr>
                <w:rFonts w:ascii="Times New Roman" w:hAnsi="Times New Roman" w:cs="Times New Roman"/>
                <w:sz w:val="20"/>
                <w:szCs w:val="20"/>
              </w:rPr>
            </w:pPr>
            <w:r>
              <w:rPr>
                <w:rFonts w:ascii="Times New Roman" w:hAnsi="Times New Roman" w:cs="Times New Roman"/>
                <w:sz w:val="20"/>
                <w:szCs w:val="20"/>
              </w:rPr>
              <w:t>T</w:t>
            </w:r>
            <w:r w:rsidRPr="004433E7">
              <w:rPr>
                <w:rFonts w:ascii="Times New Roman" w:hAnsi="Times New Roman" w:cs="Times New Roman"/>
                <w:sz w:val="20"/>
                <w:szCs w:val="20"/>
              </w:rPr>
              <w:t xml:space="preserve">his </w:t>
            </w:r>
            <w:r>
              <w:rPr>
                <w:rFonts w:ascii="Times New Roman" w:hAnsi="Times New Roman" w:cs="Times New Roman"/>
                <w:sz w:val="20"/>
                <w:szCs w:val="20"/>
              </w:rPr>
              <w:t>item shall</w:t>
            </w:r>
            <w:r w:rsidRPr="004433E7">
              <w:rPr>
                <w:rFonts w:ascii="Times New Roman" w:hAnsi="Times New Roman" w:cs="Times New Roman"/>
                <w:sz w:val="20"/>
                <w:szCs w:val="20"/>
              </w:rPr>
              <w:t xml:space="preserve"> be </w:t>
            </w:r>
            <w:r>
              <w:rPr>
                <w:rFonts w:ascii="Times New Roman" w:hAnsi="Times New Roman" w:cs="Times New Roman"/>
                <w:sz w:val="20"/>
                <w:szCs w:val="20"/>
              </w:rPr>
              <w:t xml:space="preserve">reported </w:t>
            </w:r>
            <w:proofErr w:type="gramStart"/>
            <w:r w:rsidRPr="004433E7">
              <w:rPr>
                <w:rFonts w:ascii="Times New Roman" w:hAnsi="Times New Roman" w:cs="Times New Roman"/>
                <w:sz w:val="20"/>
                <w:szCs w:val="20"/>
              </w:rPr>
              <w:t>if a "</w:t>
            </w:r>
            <w:proofErr w:type="spellStart"/>
            <w:proofErr w:type="gramEnd"/>
            <w:r w:rsidRPr="004433E7">
              <w:rPr>
                <w:rFonts w:ascii="Times New Roman" w:hAnsi="Times New Roman" w:cs="Times New Roman"/>
                <w:sz w:val="20"/>
                <w:szCs w:val="20"/>
              </w:rPr>
              <w:t>par amount</w:t>
            </w:r>
            <w:proofErr w:type="spellEnd"/>
            <w:r w:rsidRPr="004433E7">
              <w:rPr>
                <w:rFonts w:ascii="Times New Roman" w:hAnsi="Times New Roman" w:cs="Times New Roman"/>
                <w:sz w:val="20"/>
                <w:szCs w:val="20"/>
              </w:rPr>
              <w:t>" information (C0140) has been provided in the first part of the template ("Information on positions held").</w:t>
            </w:r>
          </w:p>
          <w:p w:rsidR="001C2C83" w:rsidRPr="006C2F0D" w:rsidRDefault="00EF5482">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Unit Solvency II price</w:t>
            </w:r>
            <w:r w:rsidR="00C633AE">
              <w:rPr>
                <w:rFonts w:ascii="Times New Roman" w:hAnsi="Times New Roman" w:cs="Times New Roman"/>
                <w:sz w:val="20"/>
                <w:szCs w:val="20"/>
              </w:rPr>
              <w:t xml:space="preserve"> (C0370)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1C2C83" w:rsidRPr="006C2F0D" w:rsidTr="009125C3">
        <w:trPr>
          <w:trHeight w:val="1684"/>
        </w:trPr>
        <w:tc>
          <w:tcPr>
            <w:tcW w:w="1425" w:type="dxa"/>
            <w:tcBorders>
              <w:bottom w:val="single" w:sz="4" w:space="0" w:color="auto"/>
            </w:tcBorders>
          </w:tcPr>
          <w:p w:rsidR="001C2C83" w:rsidRDefault="001C2C83" w:rsidP="00A671EA">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9</w:t>
            </w:r>
            <w:r>
              <w:rPr>
                <w:rFonts w:ascii="Times New Roman" w:hAnsi="Times New Roman" w:cs="Times New Roman"/>
                <w:sz w:val="20"/>
                <w:szCs w:val="20"/>
              </w:rPr>
              <w:t>0</w:t>
            </w:r>
          </w:p>
        </w:tc>
        <w:tc>
          <w:tcPr>
            <w:tcW w:w="2327"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490"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CIC categories 1, 2, 5, 6, and 8, CIC 74</w:t>
            </w:r>
            <w:r w:rsidR="004D28A7">
              <w:rPr>
                <w:rFonts w:ascii="Times New Roman" w:hAnsi="Times New Roman" w:cs="Times New Roman"/>
                <w:sz w:val="20"/>
                <w:szCs w:val="20"/>
              </w:rPr>
              <w:t xml:space="preserve"> and CIC 79</w:t>
            </w:r>
            <w:r w:rsidRPr="0061769B">
              <w:rPr>
                <w:rFonts w:ascii="Times New Roman" w:hAnsi="Times New Roman" w:cs="Times New Roman"/>
                <w:sz w:val="20"/>
                <w:szCs w:val="20"/>
              </w:rPr>
              <w:t>.</w:t>
            </w:r>
          </w:p>
          <w:p w:rsidR="001C2C83" w:rsidRPr="0061769B" w:rsidRDefault="001C2C83"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maturity date. </w:t>
            </w:r>
          </w:p>
          <w:p w:rsidR="001C2C83" w:rsidRDefault="001C2C83" w:rsidP="0061769B">
            <w:pPr>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rsidR="001C2C83" w:rsidRPr="006C2F0D" w:rsidRDefault="001C2C83" w:rsidP="0061769B">
            <w:pPr>
              <w:rPr>
                <w:rFonts w:ascii="Times New Roman" w:hAnsi="Times New Roman" w:cs="Times New Roman"/>
                <w:sz w:val="20"/>
                <w:szCs w:val="20"/>
              </w:rPr>
            </w:pPr>
          </w:p>
          <w:p w:rsidR="001C2C83" w:rsidRPr="006C2F0D" w:rsidRDefault="001C2C83"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AD4C78" w:rsidRDefault="001C2C83" w:rsidP="0061769B">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 xml:space="preserve">For perpetual </w:t>
            </w:r>
            <w:r w:rsidRPr="00AD4C78">
              <w:rPr>
                <w:rFonts w:ascii="Times New Roman" w:hAnsi="Times New Roman" w:cs="Times New Roman"/>
                <w:sz w:val="20"/>
                <w:szCs w:val="20"/>
              </w:rPr>
              <w:t>securities use “9999-12-31”</w:t>
            </w:r>
          </w:p>
          <w:p w:rsidR="001C2C83" w:rsidRPr="006C2F0D" w:rsidRDefault="001C2C83" w:rsidP="00A671EA">
            <w:pPr>
              <w:pStyle w:val="ListParagraph"/>
              <w:numPr>
                <w:ilvl w:val="0"/>
                <w:numId w:val="3"/>
              </w:numPr>
            </w:pPr>
            <w:r w:rsidRPr="00A671EA">
              <w:rPr>
                <w:rFonts w:ascii="Times New Roman" w:hAnsi="Times New Roman" w:cs="Times New Roman"/>
                <w:sz w:val="20"/>
                <w:szCs w:val="20"/>
              </w:rPr>
              <w:t xml:space="preserve">For CIC category 8, regarding loans and mortgages to individuals, the weighted (based on the loan amount) </w:t>
            </w:r>
            <w:r w:rsidR="008454D2">
              <w:rPr>
                <w:rFonts w:ascii="Times New Roman" w:hAnsi="Times New Roman" w:cs="Times New Roman"/>
                <w:sz w:val="20"/>
                <w:szCs w:val="20"/>
              </w:rPr>
              <w:t xml:space="preserve">remaining </w:t>
            </w:r>
            <w:r w:rsidRPr="00A671EA">
              <w:rPr>
                <w:rFonts w:ascii="Times New Roman" w:hAnsi="Times New Roman" w:cs="Times New Roman"/>
                <w:sz w:val="20"/>
                <w:szCs w:val="20"/>
              </w:rPr>
              <w:t>maturity is to be reported.</w:t>
            </w:r>
          </w:p>
        </w:tc>
      </w:tr>
    </w:tbl>
    <w:p w:rsidR="00131773" w:rsidRPr="00566107" w:rsidRDefault="00131773">
      <w:pPr>
        <w:rPr>
          <w:rFonts w:ascii="Times New Roman" w:hAnsi="Times New Roman" w:cs="Times New Roman"/>
          <w:sz w:val="20"/>
          <w:szCs w:val="20"/>
        </w:rPr>
      </w:pPr>
    </w:p>
    <w:sectPr w:rsidR="00131773" w:rsidRPr="0056610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AFF" w:rsidRDefault="00664AFF" w:rsidP="0022193C">
      <w:pPr>
        <w:spacing w:after="0" w:line="240" w:lineRule="auto"/>
      </w:pPr>
      <w:r>
        <w:separator/>
      </w:r>
    </w:p>
  </w:endnote>
  <w:endnote w:type="continuationSeparator" w:id="0">
    <w:p w:rsidR="00664AFF" w:rsidRDefault="00664AFF"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AFF" w:rsidRDefault="00664AFF" w:rsidP="0022193C">
      <w:pPr>
        <w:spacing w:after="0" w:line="240" w:lineRule="auto"/>
      </w:pPr>
      <w:r>
        <w:separator/>
      </w:r>
    </w:p>
  </w:footnote>
  <w:footnote w:type="continuationSeparator" w:id="0">
    <w:p w:rsidR="00664AFF" w:rsidRDefault="00664AFF" w:rsidP="002219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8">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0">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1">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59E3835"/>
    <w:multiLevelType w:val="hybridMultilevel"/>
    <w:tmpl w:val="2C0E7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845413C"/>
    <w:multiLevelType w:val="hybridMultilevel"/>
    <w:tmpl w:val="1610DBDA"/>
    <w:lvl w:ilvl="0" w:tplc="D48693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4"/>
  </w:num>
  <w:num w:numId="5">
    <w:abstractNumId w:val="13"/>
  </w:num>
  <w:num w:numId="6">
    <w:abstractNumId w:val="1"/>
  </w:num>
  <w:num w:numId="7">
    <w:abstractNumId w:val="5"/>
  </w:num>
  <w:num w:numId="8">
    <w:abstractNumId w:val="6"/>
  </w:num>
  <w:num w:numId="9">
    <w:abstractNumId w:val="11"/>
  </w:num>
  <w:num w:numId="10">
    <w:abstractNumId w:val="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4"/>
  </w:num>
  <w:num w:numId="14">
    <w:abstractNumId w:val="12"/>
  </w:num>
  <w:num w:numId="15">
    <w:abstractNumId w:val="3"/>
    <w:lvlOverride w:ilvl="0">
      <w:lvl w:ilvl="0" w:tplc="2384043E">
        <w:start w:val="1"/>
        <w:numFmt w:val="lowerLetter"/>
        <w:lvlText w:val="%1)"/>
        <w:lvlJc w:val="left"/>
        <w:pPr>
          <w:ind w:left="2880" w:hanging="360"/>
        </w:pPr>
        <w:rPr>
          <w:rFonts w:ascii="Times New Roman" w:hAnsi="Times New Roman" w:hint="default"/>
          <w:b w:val="0"/>
          <w:i w:val="0"/>
          <w:caps w:val="0"/>
          <w:strike w:val="0"/>
          <w:dstrike w:val="0"/>
          <w:vanish w:val="0"/>
          <w:color w:val="auto"/>
          <w:sz w:val="20"/>
          <w:szCs w:val="24"/>
          <w:vertAlign w:val="baseline"/>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2F90FD52">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2816"/>
    <w:rsid w:val="0000033D"/>
    <w:rsid w:val="00005CA1"/>
    <w:rsid w:val="000126EE"/>
    <w:rsid w:val="000256F1"/>
    <w:rsid w:val="00025DA8"/>
    <w:rsid w:val="00030879"/>
    <w:rsid w:val="0003222D"/>
    <w:rsid w:val="0003287B"/>
    <w:rsid w:val="0003425E"/>
    <w:rsid w:val="00034CDD"/>
    <w:rsid w:val="000355C0"/>
    <w:rsid w:val="000371BC"/>
    <w:rsid w:val="00037E59"/>
    <w:rsid w:val="000414E5"/>
    <w:rsid w:val="000628AC"/>
    <w:rsid w:val="000728AA"/>
    <w:rsid w:val="000829FD"/>
    <w:rsid w:val="000928D6"/>
    <w:rsid w:val="00094229"/>
    <w:rsid w:val="000A0FB2"/>
    <w:rsid w:val="000A53BD"/>
    <w:rsid w:val="000A5AEC"/>
    <w:rsid w:val="000A67B7"/>
    <w:rsid w:val="000A69CF"/>
    <w:rsid w:val="000A7BE1"/>
    <w:rsid w:val="000B1A7A"/>
    <w:rsid w:val="000B1AFA"/>
    <w:rsid w:val="000B72ED"/>
    <w:rsid w:val="000C7AEB"/>
    <w:rsid w:val="000E3CCA"/>
    <w:rsid w:val="000F0548"/>
    <w:rsid w:val="000F0F3B"/>
    <w:rsid w:val="000F3248"/>
    <w:rsid w:val="000F386B"/>
    <w:rsid w:val="000F3C26"/>
    <w:rsid w:val="001120E8"/>
    <w:rsid w:val="00121724"/>
    <w:rsid w:val="00131773"/>
    <w:rsid w:val="00151626"/>
    <w:rsid w:val="0016311F"/>
    <w:rsid w:val="00176587"/>
    <w:rsid w:val="00194107"/>
    <w:rsid w:val="00194A3F"/>
    <w:rsid w:val="001A25C7"/>
    <w:rsid w:val="001A55A7"/>
    <w:rsid w:val="001A743E"/>
    <w:rsid w:val="001B3385"/>
    <w:rsid w:val="001C2C83"/>
    <w:rsid w:val="001C57B4"/>
    <w:rsid w:val="001C6A52"/>
    <w:rsid w:val="001C6BF2"/>
    <w:rsid w:val="001C733A"/>
    <w:rsid w:val="001D36E9"/>
    <w:rsid w:val="001D6E7B"/>
    <w:rsid w:val="001E0962"/>
    <w:rsid w:val="001F3970"/>
    <w:rsid w:val="001F4EE2"/>
    <w:rsid w:val="00201193"/>
    <w:rsid w:val="00205EBA"/>
    <w:rsid w:val="002075DF"/>
    <w:rsid w:val="0022193C"/>
    <w:rsid w:val="002259B5"/>
    <w:rsid w:val="00232A9A"/>
    <w:rsid w:val="00235DA1"/>
    <w:rsid w:val="0024650D"/>
    <w:rsid w:val="002472F0"/>
    <w:rsid w:val="00247DD5"/>
    <w:rsid w:val="0026112B"/>
    <w:rsid w:val="00262E99"/>
    <w:rsid w:val="00263A71"/>
    <w:rsid w:val="002670DE"/>
    <w:rsid w:val="00271525"/>
    <w:rsid w:val="00274C65"/>
    <w:rsid w:val="002802FA"/>
    <w:rsid w:val="00281253"/>
    <w:rsid w:val="00281CD7"/>
    <w:rsid w:val="00283AF2"/>
    <w:rsid w:val="00286DE8"/>
    <w:rsid w:val="00286FA4"/>
    <w:rsid w:val="00287E2A"/>
    <w:rsid w:val="002901DE"/>
    <w:rsid w:val="002B1832"/>
    <w:rsid w:val="002B1F32"/>
    <w:rsid w:val="002C3900"/>
    <w:rsid w:val="002C41CC"/>
    <w:rsid w:val="002E29E0"/>
    <w:rsid w:val="002F2570"/>
    <w:rsid w:val="002F4EC7"/>
    <w:rsid w:val="00301175"/>
    <w:rsid w:val="003022CD"/>
    <w:rsid w:val="00303302"/>
    <w:rsid w:val="003126C9"/>
    <w:rsid w:val="00312FDB"/>
    <w:rsid w:val="00323A0A"/>
    <w:rsid w:val="0032704D"/>
    <w:rsid w:val="003348BB"/>
    <w:rsid w:val="00335000"/>
    <w:rsid w:val="003411EA"/>
    <w:rsid w:val="00351D61"/>
    <w:rsid w:val="003570A4"/>
    <w:rsid w:val="00362A4C"/>
    <w:rsid w:val="0036555A"/>
    <w:rsid w:val="003676BA"/>
    <w:rsid w:val="003A120F"/>
    <w:rsid w:val="003A7FAE"/>
    <w:rsid w:val="003B33B4"/>
    <w:rsid w:val="003C21CB"/>
    <w:rsid w:val="003D2D93"/>
    <w:rsid w:val="003E0B17"/>
    <w:rsid w:val="003E7F72"/>
    <w:rsid w:val="003F0663"/>
    <w:rsid w:val="003F1FF7"/>
    <w:rsid w:val="00400984"/>
    <w:rsid w:val="00404B6C"/>
    <w:rsid w:val="0040747E"/>
    <w:rsid w:val="00407F78"/>
    <w:rsid w:val="0041261E"/>
    <w:rsid w:val="00415F8D"/>
    <w:rsid w:val="00417341"/>
    <w:rsid w:val="00421C27"/>
    <w:rsid w:val="00425C36"/>
    <w:rsid w:val="0042665E"/>
    <w:rsid w:val="004433E7"/>
    <w:rsid w:val="0046081A"/>
    <w:rsid w:val="0047177C"/>
    <w:rsid w:val="00480811"/>
    <w:rsid w:val="004831A2"/>
    <w:rsid w:val="00484E27"/>
    <w:rsid w:val="004918B4"/>
    <w:rsid w:val="004930D3"/>
    <w:rsid w:val="004968CE"/>
    <w:rsid w:val="004A3671"/>
    <w:rsid w:val="004B5345"/>
    <w:rsid w:val="004C31E0"/>
    <w:rsid w:val="004D28A7"/>
    <w:rsid w:val="004E20B1"/>
    <w:rsid w:val="004E2F17"/>
    <w:rsid w:val="004E63CA"/>
    <w:rsid w:val="004F0F06"/>
    <w:rsid w:val="004F4758"/>
    <w:rsid w:val="005016E5"/>
    <w:rsid w:val="00507659"/>
    <w:rsid w:val="00510B8B"/>
    <w:rsid w:val="00513AB0"/>
    <w:rsid w:val="00524B12"/>
    <w:rsid w:val="00530031"/>
    <w:rsid w:val="005312F5"/>
    <w:rsid w:val="00532656"/>
    <w:rsid w:val="00535569"/>
    <w:rsid w:val="005362D3"/>
    <w:rsid w:val="005417ED"/>
    <w:rsid w:val="005428C7"/>
    <w:rsid w:val="00543B4E"/>
    <w:rsid w:val="005460E7"/>
    <w:rsid w:val="005541D6"/>
    <w:rsid w:val="00566107"/>
    <w:rsid w:val="00567D3A"/>
    <w:rsid w:val="00570E4E"/>
    <w:rsid w:val="00571F3E"/>
    <w:rsid w:val="00573795"/>
    <w:rsid w:val="0058043E"/>
    <w:rsid w:val="005B1C7D"/>
    <w:rsid w:val="005B2E6D"/>
    <w:rsid w:val="005B75AA"/>
    <w:rsid w:val="005C27B4"/>
    <w:rsid w:val="005C3FF3"/>
    <w:rsid w:val="005E0B76"/>
    <w:rsid w:val="005E63CC"/>
    <w:rsid w:val="005F1252"/>
    <w:rsid w:val="005F1830"/>
    <w:rsid w:val="005F3121"/>
    <w:rsid w:val="00611F28"/>
    <w:rsid w:val="00616D7C"/>
    <w:rsid w:val="0063095C"/>
    <w:rsid w:val="006324CB"/>
    <w:rsid w:val="00646CCC"/>
    <w:rsid w:val="00657302"/>
    <w:rsid w:val="006575AC"/>
    <w:rsid w:val="00664AFF"/>
    <w:rsid w:val="00666FF1"/>
    <w:rsid w:val="00672A53"/>
    <w:rsid w:val="006745F4"/>
    <w:rsid w:val="00677B12"/>
    <w:rsid w:val="00680728"/>
    <w:rsid w:val="006945CC"/>
    <w:rsid w:val="006A441C"/>
    <w:rsid w:val="006A72FF"/>
    <w:rsid w:val="006C2F0D"/>
    <w:rsid w:val="006C6E40"/>
    <w:rsid w:val="006D2609"/>
    <w:rsid w:val="006D39DC"/>
    <w:rsid w:val="006E1DF5"/>
    <w:rsid w:val="006F050B"/>
    <w:rsid w:val="00710F05"/>
    <w:rsid w:val="00715329"/>
    <w:rsid w:val="00717431"/>
    <w:rsid w:val="00720C5F"/>
    <w:rsid w:val="00723FF9"/>
    <w:rsid w:val="00725BCB"/>
    <w:rsid w:val="0074048B"/>
    <w:rsid w:val="007409A6"/>
    <w:rsid w:val="007418C5"/>
    <w:rsid w:val="00744208"/>
    <w:rsid w:val="007446C4"/>
    <w:rsid w:val="00745688"/>
    <w:rsid w:val="0074645C"/>
    <w:rsid w:val="00747B9D"/>
    <w:rsid w:val="00753120"/>
    <w:rsid w:val="007560A6"/>
    <w:rsid w:val="00764C3A"/>
    <w:rsid w:val="00767004"/>
    <w:rsid w:val="0076719F"/>
    <w:rsid w:val="00767368"/>
    <w:rsid w:val="00772A1B"/>
    <w:rsid w:val="00773AB3"/>
    <w:rsid w:val="00777A70"/>
    <w:rsid w:val="00795531"/>
    <w:rsid w:val="007A0083"/>
    <w:rsid w:val="007B640A"/>
    <w:rsid w:val="007C0DD9"/>
    <w:rsid w:val="007C4B56"/>
    <w:rsid w:val="007F77F5"/>
    <w:rsid w:val="00803592"/>
    <w:rsid w:val="008073B3"/>
    <w:rsid w:val="00813D00"/>
    <w:rsid w:val="00824CB4"/>
    <w:rsid w:val="008454D2"/>
    <w:rsid w:val="00845D1E"/>
    <w:rsid w:val="008504DD"/>
    <w:rsid w:val="008516F9"/>
    <w:rsid w:val="00853978"/>
    <w:rsid w:val="008573D2"/>
    <w:rsid w:val="00876856"/>
    <w:rsid w:val="008A4BAE"/>
    <w:rsid w:val="008A6EA9"/>
    <w:rsid w:val="008A79DF"/>
    <w:rsid w:val="008B2649"/>
    <w:rsid w:val="008C102A"/>
    <w:rsid w:val="008C61A6"/>
    <w:rsid w:val="008C7CC7"/>
    <w:rsid w:val="008E0BD4"/>
    <w:rsid w:val="008E6CE2"/>
    <w:rsid w:val="008F36A4"/>
    <w:rsid w:val="008F3C5D"/>
    <w:rsid w:val="008F65A7"/>
    <w:rsid w:val="009066FD"/>
    <w:rsid w:val="009078D4"/>
    <w:rsid w:val="00910362"/>
    <w:rsid w:val="009125C3"/>
    <w:rsid w:val="00913008"/>
    <w:rsid w:val="00923C78"/>
    <w:rsid w:val="00933A36"/>
    <w:rsid w:val="00935540"/>
    <w:rsid w:val="00941163"/>
    <w:rsid w:val="009411FB"/>
    <w:rsid w:val="0094173E"/>
    <w:rsid w:val="00941E4D"/>
    <w:rsid w:val="0095212A"/>
    <w:rsid w:val="00966B11"/>
    <w:rsid w:val="00970195"/>
    <w:rsid w:val="00975258"/>
    <w:rsid w:val="00980CFA"/>
    <w:rsid w:val="0098241E"/>
    <w:rsid w:val="00983747"/>
    <w:rsid w:val="00987A8A"/>
    <w:rsid w:val="00993001"/>
    <w:rsid w:val="009A1E96"/>
    <w:rsid w:val="009A59D9"/>
    <w:rsid w:val="009B13D8"/>
    <w:rsid w:val="009B24D5"/>
    <w:rsid w:val="009C6202"/>
    <w:rsid w:val="009F1609"/>
    <w:rsid w:val="009F6A35"/>
    <w:rsid w:val="00A11E5A"/>
    <w:rsid w:val="00A1213B"/>
    <w:rsid w:val="00A157FB"/>
    <w:rsid w:val="00A16AC5"/>
    <w:rsid w:val="00A32BE4"/>
    <w:rsid w:val="00A37380"/>
    <w:rsid w:val="00A671EA"/>
    <w:rsid w:val="00A7253F"/>
    <w:rsid w:val="00A742D4"/>
    <w:rsid w:val="00A7480A"/>
    <w:rsid w:val="00A76A31"/>
    <w:rsid w:val="00AA78FE"/>
    <w:rsid w:val="00AB1264"/>
    <w:rsid w:val="00AB7255"/>
    <w:rsid w:val="00AC498D"/>
    <w:rsid w:val="00AD4C78"/>
    <w:rsid w:val="00AE1F1D"/>
    <w:rsid w:val="00AE2673"/>
    <w:rsid w:val="00AE4842"/>
    <w:rsid w:val="00B25E39"/>
    <w:rsid w:val="00B30A5F"/>
    <w:rsid w:val="00B352BF"/>
    <w:rsid w:val="00B363A6"/>
    <w:rsid w:val="00B414F7"/>
    <w:rsid w:val="00B43133"/>
    <w:rsid w:val="00B66B62"/>
    <w:rsid w:val="00B74238"/>
    <w:rsid w:val="00B83E34"/>
    <w:rsid w:val="00B8525F"/>
    <w:rsid w:val="00B87399"/>
    <w:rsid w:val="00B91544"/>
    <w:rsid w:val="00B91E5C"/>
    <w:rsid w:val="00BA3254"/>
    <w:rsid w:val="00BB6DF0"/>
    <w:rsid w:val="00BD5559"/>
    <w:rsid w:val="00BE0C6F"/>
    <w:rsid w:val="00BE64E1"/>
    <w:rsid w:val="00BF0A76"/>
    <w:rsid w:val="00BF5995"/>
    <w:rsid w:val="00C05A96"/>
    <w:rsid w:val="00C14D59"/>
    <w:rsid w:val="00C2040B"/>
    <w:rsid w:val="00C20542"/>
    <w:rsid w:val="00C23E0F"/>
    <w:rsid w:val="00C26B12"/>
    <w:rsid w:val="00C32A23"/>
    <w:rsid w:val="00C40D48"/>
    <w:rsid w:val="00C55835"/>
    <w:rsid w:val="00C5605A"/>
    <w:rsid w:val="00C61074"/>
    <w:rsid w:val="00C633AE"/>
    <w:rsid w:val="00C67CC7"/>
    <w:rsid w:val="00C73E4C"/>
    <w:rsid w:val="00C755EB"/>
    <w:rsid w:val="00C77564"/>
    <w:rsid w:val="00C80135"/>
    <w:rsid w:val="00C8136F"/>
    <w:rsid w:val="00C8360C"/>
    <w:rsid w:val="00C91B92"/>
    <w:rsid w:val="00C942CF"/>
    <w:rsid w:val="00CA2BA1"/>
    <w:rsid w:val="00CA3055"/>
    <w:rsid w:val="00CB31E3"/>
    <w:rsid w:val="00CB3F9E"/>
    <w:rsid w:val="00CB736E"/>
    <w:rsid w:val="00CC34E4"/>
    <w:rsid w:val="00CC3BB5"/>
    <w:rsid w:val="00CD2358"/>
    <w:rsid w:val="00CD29DA"/>
    <w:rsid w:val="00CE2F9D"/>
    <w:rsid w:val="00CE611E"/>
    <w:rsid w:val="00CF0725"/>
    <w:rsid w:val="00CF73D6"/>
    <w:rsid w:val="00D1088F"/>
    <w:rsid w:val="00D30E01"/>
    <w:rsid w:val="00D42B87"/>
    <w:rsid w:val="00D4546C"/>
    <w:rsid w:val="00D75BE7"/>
    <w:rsid w:val="00D87DF9"/>
    <w:rsid w:val="00DA70AF"/>
    <w:rsid w:val="00DB08B5"/>
    <w:rsid w:val="00DB2A74"/>
    <w:rsid w:val="00DD6811"/>
    <w:rsid w:val="00DD7B81"/>
    <w:rsid w:val="00DE548D"/>
    <w:rsid w:val="00E00FA1"/>
    <w:rsid w:val="00E05339"/>
    <w:rsid w:val="00E15EA2"/>
    <w:rsid w:val="00E33FAE"/>
    <w:rsid w:val="00E42ADE"/>
    <w:rsid w:val="00E47109"/>
    <w:rsid w:val="00E675FA"/>
    <w:rsid w:val="00E7124E"/>
    <w:rsid w:val="00E726F2"/>
    <w:rsid w:val="00E757DA"/>
    <w:rsid w:val="00E77451"/>
    <w:rsid w:val="00E8030D"/>
    <w:rsid w:val="00E86837"/>
    <w:rsid w:val="00E95B57"/>
    <w:rsid w:val="00EA500E"/>
    <w:rsid w:val="00EC14DF"/>
    <w:rsid w:val="00ED7263"/>
    <w:rsid w:val="00EE32C1"/>
    <w:rsid w:val="00EF045F"/>
    <w:rsid w:val="00EF3D81"/>
    <w:rsid w:val="00EF4985"/>
    <w:rsid w:val="00EF5482"/>
    <w:rsid w:val="00EF5963"/>
    <w:rsid w:val="00F109D8"/>
    <w:rsid w:val="00F40635"/>
    <w:rsid w:val="00F53772"/>
    <w:rsid w:val="00F765B5"/>
    <w:rsid w:val="00F80231"/>
    <w:rsid w:val="00F91169"/>
    <w:rsid w:val="00F96C92"/>
    <w:rsid w:val="00FB04C0"/>
    <w:rsid w:val="00FB0BC1"/>
    <w:rsid w:val="00FB2816"/>
    <w:rsid w:val="00FC270D"/>
    <w:rsid w:val="00FE3920"/>
    <w:rsid w:val="00FE7667"/>
    <w:rsid w:val="00FF1D45"/>
    <w:rsid w:val="00FF3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0F3248"/>
    <w:rPr>
      <w:color w:val="0000FF"/>
      <w:u w:val="single"/>
    </w:rPr>
  </w:style>
  <w:style w:type="paragraph" w:styleId="FootnoteText">
    <w:name w:val="footnote text"/>
    <w:basedOn w:val="Normal"/>
    <w:link w:val="FootnoteTextChar"/>
    <w:rsid w:val="000F3248"/>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0F3248"/>
    <w:rPr>
      <w:rFonts w:ascii="Arial" w:eastAsia="Cambria" w:hAnsi="Arial"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0F3248"/>
    <w:rPr>
      <w:color w:val="0000FF"/>
      <w:u w:val="single"/>
    </w:rPr>
  </w:style>
  <w:style w:type="paragraph" w:styleId="FootnoteText">
    <w:name w:val="footnote text"/>
    <w:basedOn w:val="Normal"/>
    <w:link w:val="FootnoteTextChar"/>
    <w:rsid w:val="000F3248"/>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0F3248"/>
    <w:rPr>
      <w:rFonts w:ascii="Arial" w:eastAsia="Cambria"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5540329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 w:id="212854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09F95E10-DDB0-4B97-B1BA-75A8A408CB9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3710</Words>
  <Characters>21147</Characters>
  <Application>Microsoft Office Word</Application>
  <DocSecurity>0</DocSecurity>
  <Lines>176</Lines>
  <Paragraphs>49</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EIOPA</Company>
  <LinksUpToDate>false</LinksUpToDate>
  <CharactersWithSpaces>24808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7</cp:revision>
  <cp:lastPrinted>2014-06-27T15:20:00Z</cp:lastPrinted>
  <dcterms:created xsi:type="dcterms:W3CDTF">2015-06-30T08:21:00Z</dcterms:created>
  <dcterms:modified xsi:type="dcterms:W3CDTF">2015-08-31T07:29:00Z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